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53F18">
      <w:pPr>
        <w:pStyle w:val="9"/>
        <w:widowControl/>
        <w:adjustRightInd w:val="0"/>
        <w:snapToGrid w:val="0"/>
        <w:spacing w:beforeLines="0" w:afterLines="0" w:line="580" w:lineRule="exact"/>
        <w:rPr>
          <w:rFonts w:hint="default" w:ascii="黑体" w:hAnsi="黑体" w:eastAsia="黑体" w:cs="黑体"/>
          <w:sz w:val="32"/>
          <w:szCs w:val="32"/>
          <w:lang w:val="en" w:eastAsia="zh-CN"/>
        </w:rPr>
      </w:pPr>
      <w:r>
        <w:rPr>
          <w:rFonts w:hint="eastAsia" w:ascii="黑体" w:hAnsi="黑体" w:eastAsia="黑体" w:cs="黑体"/>
          <w:sz w:val="32"/>
          <w:szCs w:val="32"/>
        </w:rPr>
        <w:t>附件</w:t>
      </w:r>
      <w:r>
        <w:rPr>
          <w:rFonts w:hint="default" w:ascii="黑体" w:hAnsi="黑体" w:eastAsia="黑体" w:cs="黑体"/>
          <w:sz w:val="32"/>
          <w:szCs w:val="32"/>
          <w:lang w:val="en"/>
        </w:rPr>
        <w:t>2</w:t>
      </w:r>
    </w:p>
    <w:p w14:paraId="639C08DC">
      <w:pPr>
        <w:pStyle w:val="9"/>
        <w:widowControl/>
        <w:adjustRightInd w:val="0"/>
        <w:snapToGrid w:val="0"/>
        <w:spacing w:beforeLines="0" w:afterLines="0" w:line="580" w:lineRule="exact"/>
        <w:rPr>
          <w:rFonts w:hint="eastAsia" w:ascii="黑体" w:hAnsi="黑体" w:eastAsia="黑体" w:cs="黑体"/>
          <w:sz w:val="32"/>
          <w:szCs w:val="32"/>
        </w:rPr>
      </w:pPr>
    </w:p>
    <w:p w14:paraId="06D59698">
      <w:pPr>
        <w:pStyle w:val="9"/>
        <w:widowControl/>
        <w:adjustRightInd w:val="0"/>
        <w:snapToGrid w:val="0"/>
        <w:spacing w:beforeLines="0" w:afterLines="0" w:line="580" w:lineRule="exact"/>
        <w:jc w:val="center"/>
        <w:outlineLvl w:val="0"/>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 xml:space="preserve"> </w:t>
      </w:r>
      <w:bookmarkStart w:id="0" w:name="_Toc503445333"/>
      <w:r>
        <w:rPr>
          <w:rFonts w:hint="eastAsia" w:ascii="Times New Roman" w:hAnsi="Times New Roman" w:eastAsia="方正小标宋_GBK" w:cs="方正小标宋_GBK"/>
          <w:sz w:val="44"/>
          <w:szCs w:val="44"/>
          <w:lang w:eastAsia="zh-CN"/>
        </w:rPr>
        <w:t>海洋</w:t>
      </w:r>
      <w:r>
        <w:rPr>
          <w:rFonts w:hint="eastAsia" w:ascii="Times New Roman" w:hAnsi="Times New Roman" w:eastAsia="方正小标宋_GBK" w:cs="方正小标宋_GBK"/>
          <w:sz w:val="44"/>
          <w:szCs w:val="44"/>
        </w:rPr>
        <w:t>生态修复项目实施方案</w:t>
      </w:r>
    </w:p>
    <w:p w14:paraId="5B7414FC">
      <w:pPr>
        <w:pStyle w:val="9"/>
        <w:widowControl/>
        <w:adjustRightInd w:val="0"/>
        <w:snapToGrid w:val="0"/>
        <w:spacing w:beforeLines="0" w:afterLines="0" w:line="580" w:lineRule="exact"/>
        <w:jc w:val="center"/>
        <w:outlineLvl w:val="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（编制大纲）</w:t>
      </w:r>
    </w:p>
    <w:bookmarkEnd w:id="0"/>
    <w:p w14:paraId="202BFABE">
      <w:pPr>
        <w:pStyle w:val="9"/>
        <w:widowControl/>
        <w:adjustRightInd w:val="0"/>
        <w:snapToGrid w:val="0"/>
        <w:spacing w:beforeLines="0" w:afterLines="0" w:line="580" w:lineRule="exact"/>
        <w:rPr>
          <w:rFonts w:ascii="Times New Roman" w:hAnsi="Times New Roman" w:eastAsia="仿宋_GB2312"/>
          <w:b/>
          <w:sz w:val="32"/>
          <w:szCs w:val="32"/>
        </w:rPr>
      </w:pPr>
    </w:p>
    <w:p w14:paraId="2255B6AD">
      <w:pPr>
        <w:pStyle w:val="9"/>
        <w:widowControl/>
        <w:adjustRightInd w:val="0"/>
        <w:snapToGrid w:val="0"/>
        <w:spacing w:beforeLines="0" w:afterLines="0" w:line="580" w:lineRule="exact"/>
        <w:ind w:firstLine="640" w:firstLineChars="200"/>
        <w:outlineLvl w:val="0"/>
        <w:rPr>
          <w:rFonts w:ascii="Times New Roman" w:hAnsi="Times New Roman" w:eastAsia="黑体"/>
          <w:sz w:val="32"/>
          <w:szCs w:val="32"/>
        </w:rPr>
      </w:pPr>
      <w:r>
        <w:rPr>
          <w:rFonts w:hint="eastAsia" w:ascii="Times New Roman" w:hAnsi="宋体" w:eastAsia="黑体" w:cs="黑体"/>
          <w:sz w:val="32"/>
          <w:szCs w:val="32"/>
        </w:rPr>
        <w:t>一、基本情况</w:t>
      </w:r>
    </w:p>
    <w:p w14:paraId="1CA8FC2D">
      <w:pPr>
        <w:pStyle w:val="9"/>
        <w:widowControl/>
        <w:adjustRightInd w:val="0"/>
        <w:snapToGrid w:val="0"/>
        <w:spacing w:beforeLines="0" w:afterLines="0" w:line="58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eastAsia="zh-CN"/>
        </w:rPr>
        <w:t>（一）项目摘要。</w:t>
      </w:r>
      <w:r>
        <w:rPr>
          <w:rFonts w:hint="eastAsia" w:ascii="Times New Roman" w:hAnsi="Times New Roman" w:eastAsia="仿宋_GB2312" w:cs="仿宋_GB2312"/>
          <w:sz w:val="32"/>
          <w:szCs w:val="32"/>
          <w:lang w:eastAsia="zh-CN"/>
        </w:rPr>
        <w:t>从项目位置、生态系统主要问题、必要性、可行性、</w:t>
      </w:r>
      <w:bookmarkStart w:id="1" w:name="_GoBack"/>
      <w:bookmarkEnd w:id="1"/>
      <w:r>
        <w:rPr>
          <w:rFonts w:hint="eastAsia" w:ascii="Times New Roman" w:hAnsi="Times New Roman" w:eastAsia="仿宋_GB2312" w:cs="仿宋_GB2312"/>
          <w:sz w:val="32"/>
          <w:szCs w:val="32"/>
          <w:lang w:eastAsia="zh-CN"/>
        </w:rPr>
        <w:t>项目主要内容、经费预算、可量化的预期目标和成效、实施期限、项目成熟度等方面简述项目基本情况（不超过</w:t>
      </w:r>
      <w:r>
        <w:rPr>
          <w:rFonts w:hint="eastAsia" w:ascii="Times New Roman" w:hAnsi="Times New Roman" w:eastAsia="仿宋_GB2312" w:cs="仿宋_GB2312"/>
          <w:sz w:val="32"/>
          <w:szCs w:val="32"/>
          <w:lang w:val="en-US" w:eastAsia="zh-CN"/>
        </w:rPr>
        <w:t>1500字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w:t>
      </w:r>
    </w:p>
    <w:p w14:paraId="5F7B1C10">
      <w:pPr>
        <w:pStyle w:val="9"/>
        <w:widowControl/>
        <w:adjustRightInd w:val="0"/>
        <w:snapToGrid w:val="0"/>
        <w:spacing w:beforeLines="0" w:afterLines="0" w:line="58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）区域概况。</w:t>
      </w:r>
      <w:r>
        <w:rPr>
          <w:rFonts w:hint="eastAsia" w:ascii="Times New Roman" w:hAnsi="Times New Roman" w:eastAsia="仿宋_GB2312" w:cs="仿宋_GB2312"/>
          <w:sz w:val="32"/>
          <w:szCs w:val="32"/>
        </w:rPr>
        <w:t>介绍项目拟实施范围自然地理条件、生态系统状况、海域使用现状、社会经济状况、海洋灾害综合风险及防灾能力概况，项目涉及的相关规划等，说明拟实施项目所在区域具体位置和实施区域拐点坐标</w:t>
      </w:r>
      <w:r>
        <w:rPr>
          <w:rFonts w:hint="eastAsia" w:ascii="Times New Roman" w:hAnsi="Times New Roman" w:eastAsia="仿宋_GB2312" w:cs="仿宋_GB2312"/>
          <w:sz w:val="32"/>
          <w:szCs w:val="32"/>
          <w:lang w:eastAsia="zh-CN"/>
        </w:rPr>
        <w:t>，提交矢量数据，明确各子项目实施区域及对应的修复内容。</w:t>
      </w:r>
    </w:p>
    <w:p w14:paraId="6D717EC4">
      <w:pPr>
        <w:pStyle w:val="9"/>
        <w:widowControl/>
        <w:adjustRightInd w:val="0"/>
        <w:snapToGrid w:val="0"/>
        <w:spacing w:beforeLines="0" w:afterLines="0" w:line="580" w:lineRule="exact"/>
        <w:ind w:firstLine="640" w:firstLineChars="200"/>
        <w:rPr>
          <w:rFonts w:hint="eastAsia" w:ascii="Times New Roman" w:hAnsi="Times New Roman" w:eastAsia="仿宋_GB2312" w:cs="仿宋_GB2312"/>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）以往项目实施情况。</w:t>
      </w:r>
      <w:r>
        <w:rPr>
          <w:rFonts w:hint="eastAsia" w:ascii="Times New Roman" w:hAnsi="Times New Roman" w:eastAsia="仿宋_GB2312"/>
          <w:sz w:val="32"/>
          <w:szCs w:val="32"/>
          <w:highlight w:val="none"/>
          <w:lang w:val="en-US" w:eastAsia="zh-CN"/>
        </w:rPr>
        <w:t>2021</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rPr>
        <w:t>以来中央财政资金支持项目</w:t>
      </w:r>
      <w:r>
        <w:rPr>
          <w:rFonts w:hint="eastAsia" w:ascii="Times New Roman" w:hAnsi="Times New Roman" w:eastAsia="仿宋_GB2312" w:cs="仿宋_GB2312"/>
          <w:sz w:val="32"/>
          <w:szCs w:val="32"/>
          <w:lang w:eastAsia="zh-CN"/>
        </w:rPr>
        <w:t>实施</w:t>
      </w:r>
      <w:r>
        <w:rPr>
          <w:rFonts w:hint="eastAsia" w:ascii="Times New Roman" w:hAnsi="Times New Roman" w:eastAsia="仿宋_GB2312" w:cs="仿宋_GB2312"/>
          <w:sz w:val="32"/>
          <w:szCs w:val="32"/>
        </w:rPr>
        <w:t>情况，应详细说明项目实施区域、</w:t>
      </w:r>
      <w:r>
        <w:rPr>
          <w:rFonts w:hint="eastAsia" w:ascii="Times New Roman" w:hAnsi="Times New Roman" w:eastAsia="仿宋_GB2312" w:cs="仿宋_GB2312"/>
          <w:sz w:val="32"/>
          <w:szCs w:val="32"/>
          <w:lang w:eastAsia="zh-CN"/>
        </w:rPr>
        <w:t>矢量数据、</w:t>
      </w:r>
      <w:r>
        <w:rPr>
          <w:rFonts w:hint="eastAsia" w:ascii="Times New Roman" w:hAnsi="Times New Roman" w:eastAsia="仿宋_GB2312" w:cs="仿宋_GB2312"/>
          <w:sz w:val="32"/>
          <w:szCs w:val="32"/>
        </w:rPr>
        <w:t>实施</w:t>
      </w:r>
      <w:r>
        <w:rPr>
          <w:rFonts w:hint="eastAsia" w:ascii="Times New Roman" w:hAnsi="Times New Roman" w:eastAsia="仿宋_GB2312" w:cs="仿宋_GB2312"/>
          <w:sz w:val="32"/>
          <w:szCs w:val="32"/>
          <w:lang w:eastAsia="zh-CN"/>
        </w:rPr>
        <w:t>进度、预算执行情况</w:t>
      </w:r>
      <w:r>
        <w:rPr>
          <w:rFonts w:hint="eastAsia" w:ascii="Times New Roman" w:hAnsi="Times New Roman" w:eastAsia="仿宋_GB2312" w:cs="仿宋_GB2312"/>
          <w:sz w:val="32"/>
          <w:szCs w:val="32"/>
        </w:rPr>
        <w:t>及绩效自评情况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highlight w:val="none"/>
          <w:lang w:eastAsia="zh-CN"/>
        </w:rPr>
        <w:t>并提供本项目修复范围与</w:t>
      </w:r>
      <w:r>
        <w:rPr>
          <w:rFonts w:hint="eastAsia" w:ascii="Times New Roman" w:hAnsi="Times New Roman" w:eastAsia="仿宋_GB2312"/>
          <w:sz w:val="32"/>
          <w:szCs w:val="32"/>
          <w:highlight w:val="none"/>
          <w:lang w:val="en-US" w:eastAsia="zh-CN"/>
        </w:rPr>
        <w:t>2021</w:t>
      </w:r>
      <w:r>
        <w:rPr>
          <w:rFonts w:hint="eastAsia" w:ascii="Times New Roman" w:hAnsi="Times New Roman" w:eastAsia="仿宋_GB2312" w:cs="仿宋_GB2312"/>
          <w:sz w:val="32"/>
          <w:szCs w:val="32"/>
          <w:highlight w:val="none"/>
        </w:rPr>
        <w:t>年以来</w:t>
      </w:r>
      <w:r>
        <w:rPr>
          <w:rFonts w:hint="eastAsia" w:ascii="Times New Roman" w:hAnsi="Times New Roman" w:eastAsia="仿宋_GB2312" w:cs="仿宋_GB2312"/>
          <w:sz w:val="32"/>
          <w:szCs w:val="32"/>
          <w:highlight w:val="none"/>
          <w:lang w:eastAsia="zh-CN"/>
        </w:rPr>
        <w:t>中央财政支持的</w:t>
      </w:r>
      <w:r>
        <w:rPr>
          <w:rFonts w:hint="eastAsia" w:ascii="Times New Roman" w:hAnsi="Times New Roman" w:eastAsia="仿宋_GB2312" w:cs="仿宋_GB2312"/>
          <w:sz w:val="32"/>
          <w:szCs w:val="32"/>
          <w:highlight w:val="none"/>
          <w:lang w:val="en-US" w:eastAsia="zh-CN"/>
        </w:rPr>
        <w:t>项目修复范围叠加图</w:t>
      </w:r>
      <w:r>
        <w:rPr>
          <w:rFonts w:hint="eastAsia" w:ascii="Times New Roman" w:hAnsi="Times New Roman" w:eastAsia="仿宋_GB2312" w:cs="仿宋_GB2312"/>
          <w:sz w:val="32"/>
          <w:szCs w:val="32"/>
          <w:highlight w:val="none"/>
          <w:lang w:eastAsia="zh-CN"/>
        </w:rPr>
        <w:t>。</w:t>
      </w:r>
    </w:p>
    <w:p w14:paraId="380F09B4">
      <w:pPr>
        <w:pStyle w:val="9"/>
        <w:widowControl/>
        <w:adjustRightInd w:val="0"/>
        <w:snapToGrid w:val="0"/>
        <w:spacing w:beforeLines="0" w:afterLines="0" w:line="580" w:lineRule="exact"/>
        <w:ind w:firstLine="640" w:firstLineChars="200"/>
        <w:outlineLvl w:val="0"/>
        <w:rPr>
          <w:rFonts w:hint="eastAsia" w:ascii="楷体" w:hAnsi="楷体" w:eastAsia="楷体" w:cs="楷体"/>
          <w:sz w:val="32"/>
          <w:szCs w:val="32"/>
          <w:lang w:eastAsia="zh-CN"/>
        </w:rPr>
      </w:pPr>
      <w:r>
        <w:rPr>
          <w:rFonts w:hint="eastAsia" w:ascii="黑体" w:hAnsi="黑体" w:eastAsia="黑体" w:cs="黑体"/>
          <w:sz w:val="32"/>
          <w:szCs w:val="32"/>
          <w:lang w:eastAsia="zh-CN"/>
        </w:rPr>
        <w:t>二、生态系</w:t>
      </w:r>
      <w:r>
        <w:rPr>
          <w:rFonts w:hint="eastAsia" w:ascii="黑体" w:hAnsi="宋体" w:eastAsia="黑体" w:cs="黑体"/>
          <w:sz w:val="32"/>
          <w:szCs w:val="32"/>
          <w:lang w:eastAsia="zh-CN"/>
        </w:rPr>
        <w:t>统问题识别与诊断</w:t>
      </w:r>
    </w:p>
    <w:p w14:paraId="37D5ADB6">
      <w:pPr>
        <w:pStyle w:val="9"/>
        <w:widowControl/>
        <w:adjustRightInd w:val="0"/>
        <w:snapToGrid w:val="0"/>
        <w:spacing w:beforeLines="0" w:afterLines="0" w:line="58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从生态系统质量、生态系统服务功能和防灾减灾能力等方面，说明生态问题</w:t>
      </w:r>
      <w:r>
        <w:rPr>
          <w:rFonts w:hint="eastAsia" w:ascii="Times New Roman" w:hAnsi="Times New Roman" w:eastAsia="仿宋_GB2312" w:cs="仿宋_GB2312"/>
          <w:sz w:val="32"/>
          <w:szCs w:val="32"/>
          <w:lang w:eastAsia="zh-CN"/>
        </w:rPr>
        <w:t>和防灾减灾</w:t>
      </w:r>
      <w:r>
        <w:rPr>
          <w:rFonts w:hint="eastAsia" w:ascii="Times New Roman" w:hAnsi="Times New Roman" w:eastAsia="仿宋_GB2312" w:cs="仿宋_GB2312"/>
          <w:sz w:val="32"/>
          <w:szCs w:val="32"/>
        </w:rPr>
        <w:t>现状（附现场照片），分析区域生态受损程度</w:t>
      </w:r>
      <w:r>
        <w:rPr>
          <w:rFonts w:hint="eastAsia" w:ascii="Times New Roman" w:hAnsi="Times New Roman" w:eastAsia="仿宋_GB2312" w:cs="仿宋_GB2312"/>
          <w:sz w:val="32"/>
          <w:szCs w:val="32"/>
          <w:lang w:eastAsia="zh-CN"/>
        </w:rPr>
        <w:t>、防灾减灾能力不足</w:t>
      </w:r>
      <w:r>
        <w:rPr>
          <w:rFonts w:hint="eastAsia" w:ascii="Times New Roman" w:hAnsi="Times New Roman" w:eastAsia="仿宋_GB2312" w:cs="仿宋_GB2312"/>
          <w:sz w:val="32"/>
          <w:szCs w:val="32"/>
        </w:rPr>
        <w:t>及生态问题产生原因，明确生态修复对象，在掌握当地生态本底和开展适宜性评估的基础上，提出生态修复范围、主要内容和方法。</w:t>
      </w:r>
    </w:p>
    <w:p w14:paraId="743B3E4E">
      <w:pPr>
        <w:pStyle w:val="9"/>
        <w:widowControl/>
        <w:adjustRightInd w:val="0"/>
        <w:snapToGrid w:val="0"/>
        <w:spacing w:beforeLines="0" w:afterLines="0" w:line="580" w:lineRule="exact"/>
        <w:ind w:firstLine="640" w:firstLineChars="200"/>
        <w:outlineLvl w:val="0"/>
        <w:rPr>
          <w:rFonts w:hint="default" w:ascii="黑体" w:hAnsi="宋体" w:eastAsia="黑体" w:cs="黑体"/>
          <w:sz w:val="32"/>
          <w:szCs w:val="32"/>
          <w:lang w:val="en" w:eastAsia="zh-CN"/>
        </w:rPr>
      </w:pPr>
      <w:r>
        <w:rPr>
          <w:rFonts w:hint="eastAsia" w:ascii="黑体" w:hAnsi="宋体" w:eastAsia="黑体" w:cs="黑体"/>
          <w:sz w:val="32"/>
          <w:szCs w:val="32"/>
          <w:lang w:eastAsia="zh-CN"/>
        </w:rPr>
        <w:t>三</w:t>
      </w:r>
      <w:r>
        <w:rPr>
          <w:rFonts w:hint="eastAsia" w:ascii="黑体" w:hAnsi="宋体" w:eastAsia="黑体" w:cs="黑体"/>
          <w:sz w:val="32"/>
          <w:szCs w:val="32"/>
        </w:rPr>
        <w:t>、</w:t>
      </w:r>
      <w:r>
        <w:rPr>
          <w:rFonts w:hint="eastAsia" w:ascii="黑体" w:hAnsi="宋体" w:eastAsia="黑体" w:cs="黑体"/>
          <w:sz w:val="32"/>
          <w:szCs w:val="32"/>
          <w:lang w:val="en-US" w:eastAsia="zh-CN"/>
        </w:rPr>
        <w:t>项目必要性和可行性分析</w:t>
      </w:r>
    </w:p>
    <w:p w14:paraId="6C4A8655">
      <w:pPr>
        <w:pStyle w:val="9"/>
        <w:widowControl/>
        <w:adjustRightInd w:val="0"/>
        <w:snapToGrid w:val="0"/>
        <w:spacing w:beforeLines="0" w:afterLines="0" w:line="58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cs="仿宋_GB2312"/>
          <w:sz w:val="32"/>
          <w:szCs w:val="32"/>
        </w:rPr>
        <w:t>说明项目实施对保障国家和地区生态安全、改善区域生态系统质量、提升防灾减灾能力的重要性，以及与国家战略或区域发展规划的关系。论证项目实施的技术条件可行性和政策可行性</w:t>
      </w:r>
      <w:r>
        <w:rPr>
          <w:rFonts w:hint="eastAsia" w:ascii="Times New Roman" w:hAnsi="Times New Roman" w:eastAsia="仿宋_GB2312" w:cs="仿宋_GB2312"/>
          <w:sz w:val="32"/>
          <w:szCs w:val="32"/>
          <w:lang w:eastAsia="zh-CN"/>
        </w:rPr>
        <w:t>（涉及技术创新和制度创新，可做专项说明）</w:t>
      </w:r>
      <w:r>
        <w:rPr>
          <w:rFonts w:hint="eastAsia" w:ascii="Times New Roman" w:hAnsi="Times New Roman" w:eastAsia="仿宋_GB2312" w:cs="仿宋_GB2312"/>
          <w:sz w:val="32"/>
          <w:szCs w:val="32"/>
        </w:rPr>
        <w:t>，说明项目已有工作基础，包括拟实施项目前期</w:t>
      </w:r>
      <w:r>
        <w:rPr>
          <w:rFonts w:hint="eastAsia" w:ascii="Times New Roman" w:hAnsi="Times New Roman" w:eastAsia="仿宋_GB2312" w:cs="仿宋_GB2312"/>
          <w:sz w:val="32"/>
          <w:szCs w:val="32"/>
          <w:lang w:eastAsia="zh-CN"/>
        </w:rPr>
        <w:t>准备</w:t>
      </w:r>
      <w:r>
        <w:rPr>
          <w:rFonts w:hint="eastAsia" w:ascii="Times New Roman" w:hAnsi="Times New Roman" w:eastAsia="仿宋_GB2312" w:cs="仿宋_GB2312"/>
          <w:sz w:val="32"/>
          <w:szCs w:val="32"/>
        </w:rPr>
        <w:t>工作进展、利益相关者协调、资金筹措等情况</w:t>
      </w:r>
      <w:r>
        <w:rPr>
          <w:rFonts w:hint="eastAsia" w:ascii="Times New Roman" w:hAnsi="Times New Roman" w:eastAsia="仿宋_GB2312" w:cs="仿宋_GB2312"/>
          <w:sz w:val="32"/>
          <w:szCs w:val="32"/>
          <w:lang w:eastAsia="zh-CN"/>
        </w:rPr>
        <w:t>。叠加分析项目与生态保护红线、自然保护地、确权用海、土地权属等的关系，说明需用地、用海情况并提供矢量图。</w:t>
      </w:r>
    </w:p>
    <w:p w14:paraId="1EAF53D3">
      <w:pPr>
        <w:pStyle w:val="9"/>
        <w:widowControl/>
        <w:adjustRightInd w:val="0"/>
        <w:snapToGrid w:val="0"/>
        <w:spacing w:beforeLines="0" w:afterLines="0" w:line="580" w:lineRule="exact"/>
        <w:ind w:firstLine="640" w:firstLineChars="200"/>
        <w:outlineLvl w:val="0"/>
        <w:rPr>
          <w:rFonts w:ascii="Times New Roman" w:hAnsi="Times New Roman" w:eastAsia="黑体"/>
          <w:sz w:val="32"/>
          <w:szCs w:val="32"/>
        </w:rPr>
      </w:pPr>
      <w:r>
        <w:rPr>
          <w:rFonts w:hint="eastAsia" w:ascii="Times New Roman" w:hAnsi="宋体" w:eastAsia="黑体" w:cs="黑体"/>
          <w:sz w:val="32"/>
          <w:szCs w:val="32"/>
          <w:lang w:eastAsia="zh-CN"/>
        </w:rPr>
        <w:t>四</w:t>
      </w:r>
      <w:r>
        <w:rPr>
          <w:rFonts w:hint="eastAsia" w:ascii="Times New Roman" w:hAnsi="宋体" w:eastAsia="黑体" w:cs="黑体"/>
          <w:sz w:val="32"/>
          <w:szCs w:val="32"/>
        </w:rPr>
        <w:t>、主要目标</w:t>
      </w:r>
    </w:p>
    <w:p w14:paraId="18216733">
      <w:pPr>
        <w:pStyle w:val="9"/>
        <w:widowControl/>
        <w:adjustRightInd w:val="0"/>
        <w:snapToGrid w:val="0"/>
        <w:spacing w:beforeLines="0" w:afterLines="0" w:line="58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（一）总体目标。</w:t>
      </w:r>
      <w:r>
        <w:rPr>
          <w:rFonts w:hint="eastAsia" w:ascii="Times New Roman" w:hAnsi="Times New Roman" w:eastAsia="仿宋_GB2312" w:cs="仿宋_GB2312"/>
          <w:sz w:val="32"/>
          <w:szCs w:val="32"/>
        </w:rPr>
        <w:t>围绕生态修复对象，针对识别出的生态问题，以改善区域生态系统质量</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提升生态系统服务功能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促进生态减灾协同增效为目标</w:t>
      </w:r>
      <w:r>
        <w:rPr>
          <w:rFonts w:hint="eastAsia" w:ascii="Times New Roman" w:hAnsi="Times New Roman" w:eastAsia="仿宋_GB2312" w:cs="仿宋_GB2312"/>
          <w:sz w:val="32"/>
          <w:szCs w:val="32"/>
          <w:lang w:eastAsia="zh-CN"/>
        </w:rPr>
        <w:t>，从系统工程和全局角度，提出全方位、全海域、全过程开展海洋生态保护和修复项目实施的总体目标</w:t>
      </w:r>
      <w:r>
        <w:rPr>
          <w:rFonts w:hint="eastAsia" w:ascii="Times New Roman" w:hAnsi="Times New Roman" w:eastAsia="仿宋_GB2312" w:cs="仿宋_GB2312"/>
          <w:sz w:val="32"/>
          <w:szCs w:val="32"/>
        </w:rPr>
        <w:t>。项目包含多个子项目的，子项目按照</w:t>
      </w:r>
      <w:r>
        <w:rPr>
          <w:rFonts w:ascii="Times New Roman" w:hAnsi="Times New Roman" w:eastAsia="仿宋_GB2312"/>
          <w:sz w:val="32"/>
          <w:szCs w:val="32"/>
        </w:rPr>
        <w:t>“</w:t>
      </w:r>
      <w:r>
        <w:rPr>
          <w:rFonts w:hint="eastAsia" w:ascii="Times New Roman" w:hAnsi="Times New Roman" w:eastAsia="仿宋_GB2312" w:cs="仿宋_GB2312"/>
          <w:sz w:val="32"/>
          <w:szCs w:val="32"/>
        </w:rPr>
        <w:t>区域</w:t>
      </w:r>
      <w:r>
        <w:rPr>
          <w:rFonts w:ascii="Times New Roman" w:hAnsi="Times New Roman" w:eastAsia="仿宋_GB2312"/>
          <w:sz w:val="32"/>
          <w:szCs w:val="32"/>
        </w:rPr>
        <w:t>+</w:t>
      </w:r>
      <w:r>
        <w:rPr>
          <w:rFonts w:hint="eastAsia" w:ascii="Times New Roman" w:hAnsi="Times New Roman" w:eastAsia="仿宋_GB2312" w:cs="仿宋_GB2312"/>
          <w:sz w:val="32"/>
          <w:szCs w:val="32"/>
        </w:rPr>
        <w:t>修复类型</w:t>
      </w:r>
      <w:r>
        <w:rPr>
          <w:rFonts w:ascii="Times New Roman" w:hAnsi="Times New Roman" w:eastAsia="仿宋_GB2312"/>
          <w:sz w:val="32"/>
          <w:szCs w:val="32"/>
        </w:rPr>
        <w:t>”</w:t>
      </w:r>
      <w:r>
        <w:rPr>
          <w:rFonts w:hint="eastAsia" w:ascii="Times New Roman" w:hAnsi="Times New Roman" w:eastAsia="仿宋_GB2312" w:cs="仿宋_GB2312"/>
          <w:sz w:val="32"/>
          <w:szCs w:val="32"/>
        </w:rPr>
        <w:t>的规则命名，并对每个子项目的总体目标进行描述。总体目标描述要求定性和定量描述相结合。</w:t>
      </w:r>
    </w:p>
    <w:p w14:paraId="008009ED">
      <w:pPr>
        <w:pStyle w:val="5"/>
        <w:widowControl/>
        <w:snapToGrid w:val="0"/>
        <w:spacing w:beforeLines="0" w:afterLines="0" w:line="580" w:lineRule="exact"/>
        <w:ind w:firstLine="640" w:firstLineChars="200"/>
        <w:rPr>
          <w:rFonts w:hint="eastAsia" w:ascii="仿宋_GB2312" w:hAnsi="微软雅黑" w:eastAsia="仿宋_GB2312" w:cs="仿宋_GB2312"/>
          <w:kern w:val="0"/>
          <w:sz w:val="32"/>
          <w:szCs w:val="32"/>
          <w:lang w:eastAsia="zh-CN" w:bidi="ar"/>
        </w:rPr>
      </w:pPr>
      <w:r>
        <w:rPr>
          <w:rFonts w:hint="eastAsia" w:ascii="楷体" w:hAnsi="楷体" w:eastAsia="楷体" w:cs="楷体"/>
          <w:sz w:val="32"/>
          <w:szCs w:val="32"/>
        </w:rPr>
        <w:t>（二）阶段性目标</w:t>
      </w:r>
      <w:r>
        <w:rPr>
          <w:rFonts w:hint="eastAsia" w:ascii="楷体" w:hAnsi="楷体" w:eastAsia="楷体" w:cs="楷体"/>
          <w:sz w:val="32"/>
          <w:szCs w:val="32"/>
          <w:lang w:eastAsia="zh-CN"/>
        </w:rPr>
        <w:t>与长效目标</w:t>
      </w:r>
      <w:r>
        <w:rPr>
          <w:rFonts w:hint="eastAsia" w:ascii="楷体" w:hAnsi="楷体" w:eastAsia="楷体" w:cs="楷体"/>
          <w:sz w:val="32"/>
          <w:szCs w:val="32"/>
        </w:rPr>
        <w:t>。</w:t>
      </w:r>
      <w:r>
        <w:rPr>
          <w:rFonts w:hint="eastAsia" w:ascii="仿宋_GB2312" w:hAnsi="微软雅黑" w:eastAsia="仿宋_GB2312" w:cs="仿宋_GB2312"/>
          <w:kern w:val="0"/>
          <w:sz w:val="32"/>
          <w:szCs w:val="32"/>
          <w:lang w:bidi="ar"/>
        </w:rPr>
        <w:t>根据项目实施周期，</w:t>
      </w:r>
      <w:r>
        <w:rPr>
          <w:rFonts w:hint="eastAsia" w:eastAsia="仿宋_GB2312" w:cs="仿宋_GB2312"/>
          <w:sz w:val="32"/>
          <w:szCs w:val="32"/>
        </w:rPr>
        <w:t>按年度说明项目和子项目的阶段性目标</w:t>
      </w:r>
      <w:r>
        <w:rPr>
          <w:rFonts w:hint="eastAsia" w:eastAsia="仿宋_GB2312" w:cs="仿宋_GB2312"/>
          <w:sz w:val="32"/>
          <w:szCs w:val="32"/>
          <w:lang w:eastAsia="zh-CN"/>
        </w:rPr>
        <w:t>和长效目标</w:t>
      </w:r>
      <w:r>
        <w:rPr>
          <w:rFonts w:hint="eastAsia" w:ascii="仿宋_GB2312" w:hAnsi="微软雅黑" w:eastAsia="仿宋_GB2312" w:cs="仿宋_GB2312"/>
          <w:kern w:val="0"/>
          <w:sz w:val="32"/>
          <w:szCs w:val="32"/>
          <w:lang w:bidi="ar"/>
        </w:rPr>
        <w:t>。</w:t>
      </w:r>
      <w:r>
        <w:rPr>
          <w:rFonts w:hint="eastAsia" w:eastAsia="仿宋_GB2312" w:cs="仿宋_GB2312"/>
          <w:sz w:val="32"/>
          <w:szCs w:val="32"/>
        </w:rPr>
        <w:t>阶段性目标</w:t>
      </w:r>
      <w:r>
        <w:rPr>
          <w:rFonts w:hint="eastAsia" w:eastAsia="仿宋_GB2312" w:cs="仿宋_GB2312"/>
          <w:sz w:val="32"/>
          <w:szCs w:val="32"/>
          <w:lang w:eastAsia="zh-CN"/>
        </w:rPr>
        <w:t>和长效目标</w:t>
      </w:r>
      <w:r>
        <w:rPr>
          <w:rFonts w:hint="eastAsia" w:eastAsia="仿宋_GB2312" w:cs="仿宋_GB2312"/>
          <w:sz w:val="32"/>
          <w:szCs w:val="32"/>
        </w:rPr>
        <w:t>描述</w:t>
      </w:r>
      <w:r>
        <w:rPr>
          <w:rFonts w:hint="eastAsia" w:eastAsia="仿宋_GB2312" w:cs="仿宋_GB2312"/>
          <w:sz w:val="32"/>
          <w:szCs w:val="32"/>
          <w:lang w:eastAsia="zh-CN"/>
        </w:rPr>
        <w:t>应</w:t>
      </w:r>
      <w:r>
        <w:rPr>
          <w:rFonts w:hint="eastAsia" w:eastAsia="仿宋_GB2312" w:cs="仿宋_GB2312"/>
          <w:sz w:val="32"/>
          <w:szCs w:val="32"/>
        </w:rPr>
        <w:t>定性和定量描述相结合。</w:t>
      </w:r>
      <w:r>
        <w:rPr>
          <w:rFonts w:hint="eastAsia" w:eastAsia="仿宋_GB2312" w:cs="仿宋_GB2312"/>
          <w:sz w:val="32"/>
          <w:szCs w:val="32"/>
          <w:lang w:eastAsia="zh-CN"/>
        </w:rPr>
        <w:t>长效目标应当能体现工程实施对区域生态系统的长期改善，以及通过长期管护对生态系统稳定性的影响。</w:t>
      </w:r>
    </w:p>
    <w:p w14:paraId="717BCD2E">
      <w:pPr>
        <w:pStyle w:val="9"/>
        <w:widowControl/>
        <w:adjustRightInd w:val="0"/>
        <w:snapToGrid w:val="0"/>
        <w:spacing w:beforeLines="0" w:afterLines="0" w:line="58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（三）绩效目标。</w:t>
      </w:r>
      <w:r>
        <w:rPr>
          <w:rFonts w:hint="eastAsia" w:ascii="仿宋_GB2312" w:hAnsi="Times New Roman" w:eastAsia="仿宋_GB2312" w:cs="仿宋_GB2312"/>
          <w:kern w:val="0"/>
          <w:sz w:val="32"/>
          <w:szCs w:val="32"/>
          <w:lang w:bidi="ar"/>
        </w:rPr>
        <w:t>根据项目总体目标，确定项目预期实现的产出、效益、满意度等方面的定性和定量指标</w:t>
      </w:r>
      <w:r>
        <w:rPr>
          <w:rFonts w:hint="eastAsia" w:ascii="仿宋_GB2312" w:hAnsi="Times New Roman" w:eastAsia="仿宋_GB2312" w:cs="仿宋_GB2312"/>
          <w:kern w:val="0"/>
          <w:sz w:val="32"/>
          <w:szCs w:val="32"/>
          <w:lang w:eastAsia="zh-CN" w:bidi="ar"/>
        </w:rPr>
        <w:t>，并列出年度绩效目标</w:t>
      </w:r>
      <w:r>
        <w:rPr>
          <w:rFonts w:hint="eastAsia" w:ascii="仿宋_GB2312" w:hAnsi="Times New Roman" w:eastAsia="仿宋_GB2312" w:cs="仿宋_GB2312"/>
          <w:kern w:val="0"/>
          <w:sz w:val="32"/>
          <w:szCs w:val="32"/>
          <w:lang w:bidi="ar"/>
        </w:rPr>
        <w:t>。</w:t>
      </w:r>
      <w:r>
        <w:rPr>
          <w:rFonts w:hint="eastAsia" w:ascii="Times New Roman" w:hAnsi="Times New Roman" w:eastAsia="仿宋_GB2312" w:cs="仿宋_GB2312"/>
          <w:sz w:val="32"/>
          <w:szCs w:val="32"/>
        </w:rPr>
        <w:t>若包含多个子项目，需列出总体绩效和每个子项目的绩效考核指标。</w:t>
      </w:r>
      <w:r>
        <w:rPr>
          <w:rFonts w:hint="eastAsia" w:ascii="仿宋_GB2312" w:hAnsi="Times New Roman" w:eastAsia="仿宋_GB2312" w:cs="仿宋_GB2312"/>
          <w:kern w:val="0"/>
          <w:sz w:val="32"/>
          <w:szCs w:val="32"/>
          <w:lang w:bidi="ar"/>
        </w:rPr>
        <w:t>其中，效益指标包括生态效益、社会效益、经济效益、可持续影响指标等。</w:t>
      </w:r>
      <w:r>
        <w:rPr>
          <w:rFonts w:hint="eastAsia" w:ascii="仿宋_GB2312" w:hAnsi="Times New Roman" w:eastAsia="仿宋_GB2312" w:cs="仿宋_GB2312"/>
          <w:kern w:val="0"/>
          <w:sz w:val="32"/>
          <w:szCs w:val="32"/>
          <w:lang w:eastAsia="zh-CN" w:bidi="ar"/>
        </w:rPr>
        <w:t>绩效目标以定量指标为主，定性和定量指标相结合，</w:t>
      </w:r>
      <w:r>
        <w:rPr>
          <w:rFonts w:hint="eastAsia" w:ascii="仿宋_GB2312" w:hAnsi="Times New Roman" w:eastAsia="仿宋_GB2312" w:cs="仿宋_GB2312"/>
          <w:kern w:val="0"/>
          <w:sz w:val="32"/>
          <w:szCs w:val="32"/>
          <w:lang w:bidi="ar"/>
        </w:rPr>
        <w:t>对能够量化的绩效指标应设定量化指标</w:t>
      </w:r>
      <w:r>
        <w:rPr>
          <w:rFonts w:hint="eastAsia" w:ascii="仿宋_GB2312" w:hAnsi="Times New Roman" w:eastAsia="仿宋_GB2312" w:cs="仿宋_GB2312"/>
          <w:kern w:val="0"/>
          <w:sz w:val="32"/>
          <w:szCs w:val="32"/>
          <w:lang w:eastAsia="zh-CN" w:bidi="ar"/>
        </w:rPr>
        <w:t>，确保绩效目标可量化、可考核</w:t>
      </w:r>
      <w:r>
        <w:rPr>
          <w:rFonts w:hint="eastAsia" w:ascii="仿宋_GB2312" w:hAnsi="Times New Roman" w:eastAsia="仿宋_GB2312" w:cs="仿宋_GB2312"/>
          <w:kern w:val="0"/>
          <w:sz w:val="32"/>
          <w:szCs w:val="32"/>
          <w:lang w:bidi="ar"/>
        </w:rPr>
        <w:t>。</w:t>
      </w:r>
    </w:p>
    <w:p w14:paraId="124642E0">
      <w:pPr>
        <w:pStyle w:val="9"/>
        <w:widowControl/>
        <w:adjustRightInd w:val="0"/>
        <w:snapToGrid w:val="0"/>
        <w:spacing w:beforeLines="0" w:afterLines="0" w:line="580" w:lineRule="exact"/>
        <w:ind w:firstLine="640" w:firstLineChars="200"/>
        <w:outlineLvl w:val="0"/>
        <w:rPr>
          <w:rFonts w:hint="eastAsia" w:ascii="黑体" w:hAnsi="宋体" w:eastAsia="黑体" w:cs="黑体"/>
          <w:sz w:val="32"/>
          <w:szCs w:val="32"/>
        </w:rPr>
      </w:pPr>
      <w:r>
        <w:rPr>
          <w:rFonts w:hint="eastAsia" w:ascii="黑体" w:hAnsi="宋体" w:eastAsia="黑体" w:cs="黑体"/>
          <w:sz w:val="32"/>
          <w:szCs w:val="32"/>
          <w:lang w:eastAsia="zh-CN"/>
        </w:rPr>
        <w:t>五</w:t>
      </w:r>
      <w:r>
        <w:rPr>
          <w:rFonts w:hint="eastAsia" w:ascii="黑体" w:hAnsi="宋体" w:eastAsia="黑体" w:cs="黑体"/>
          <w:sz w:val="32"/>
          <w:szCs w:val="32"/>
        </w:rPr>
        <w:t>、实施内容与进度安排</w:t>
      </w:r>
    </w:p>
    <w:p w14:paraId="0B252505">
      <w:pPr>
        <w:pStyle w:val="5"/>
        <w:widowControl/>
        <w:snapToGrid w:val="0"/>
        <w:spacing w:beforeLines="0" w:afterLines="0" w:line="58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楷体" w:hAnsi="楷体" w:eastAsia="楷体" w:cs="楷体"/>
          <w:sz w:val="32"/>
          <w:szCs w:val="32"/>
        </w:rPr>
        <w:t>（一）实施内容。</w:t>
      </w:r>
      <w:r>
        <w:rPr>
          <w:rFonts w:hint="eastAsia" w:ascii="Times New Roman" w:hAnsi="Times New Roman" w:eastAsia="仿宋_GB2312" w:cs="仿宋_GB2312"/>
          <w:kern w:val="2"/>
          <w:sz w:val="32"/>
          <w:szCs w:val="32"/>
          <w:lang w:val="en-US" w:eastAsia="zh-CN" w:bidi="ar"/>
        </w:rPr>
        <w:t>建设内容</w:t>
      </w:r>
      <w:r>
        <w:rPr>
          <w:rFonts w:hint="eastAsia" w:eastAsia="仿宋_GB2312" w:cs="仿宋_GB2312"/>
          <w:kern w:val="2"/>
          <w:sz w:val="32"/>
          <w:szCs w:val="32"/>
          <w:lang w:val="en-US" w:eastAsia="zh-CN" w:bidi="ar"/>
        </w:rPr>
        <w:t>可</w:t>
      </w:r>
      <w:r>
        <w:rPr>
          <w:rFonts w:hint="eastAsia" w:ascii="Times New Roman" w:hAnsi="Times New Roman" w:eastAsia="仿宋_GB2312" w:cs="仿宋_GB2312"/>
          <w:kern w:val="2"/>
          <w:sz w:val="32"/>
          <w:szCs w:val="32"/>
          <w:lang w:val="en-US" w:eastAsia="zh-CN" w:bidi="ar"/>
        </w:rPr>
        <w:t>包括红树林、珊瑚礁、海草床、盐沼、砂质海岸、河口、海湾等典型生态系统修复</w:t>
      </w:r>
      <w:r>
        <w:rPr>
          <w:rFonts w:hint="eastAsia" w:ascii="仿宋_GB2312" w:hAnsi="仿宋_GB2312" w:eastAsia="仿宋_GB2312" w:cs="仿宋_GB2312"/>
          <w:sz w:val="32"/>
          <w:szCs w:val="32"/>
          <w:lang w:val="en" w:eastAsia="zh-CN"/>
        </w:rPr>
        <w:t>，和美海岛、高生态价值海岛和生态受损严重海岛生态修复</w:t>
      </w:r>
      <w:r>
        <w:rPr>
          <w:rFonts w:hint="eastAsia" w:ascii="Times New Roman" w:hAnsi="Times New Roman" w:eastAsia="仿宋_GB2312" w:cs="仿宋_GB2312"/>
          <w:kern w:val="2"/>
          <w:sz w:val="32"/>
          <w:szCs w:val="32"/>
          <w:lang w:val="en-US" w:eastAsia="zh-CN" w:bidi="ar"/>
        </w:rPr>
        <w:t>，</w:t>
      </w:r>
      <w:r>
        <w:rPr>
          <w:rFonts w:hint="eastAsia" w:eastAsia="仿宋_GB2312" w:cs="仿宋_GB2312"/>
          <w:kern w:val="2"/>
          <w:sz w:val="32"/>
          <w:szCs w:val="32"/>
          <w:lang w:val="en-US" w:eastAsia="zh-CN" w:bidi="ar"/>
        </w:rPr>
        <w:t>浒苔</w:t>
      </w:r>
      <w:r>
        <w:rPr>
          <w:rFonts w:hint="eastAsia" w:ascii="Times New Roman" w:hAnsi="Times New Roman" w:eastAsia="仿宋_GB2312" w:cs="仿宋_GB2312"/>
          <w:kern w:val="2"/>
          <w:sz w:val="32"/>
          <w:szCs w:val="32"/>
          <w:lang w:val="en-US" w:eastAsia="zh-CN" w:bidi="ar"/>
        </w:rPr>
        <w:t>等</w:t>
      </w:r>
      <w:r>
        <w:rPr>
          <w:rFonts w:hint="eastAsia" w:eastAsia="仿宋_GB2312" w:cs="仿宋_GB2312"/>
          <w:kern w:val="2"/>
          <w:sz w:val="32"/>
          <w:szCs w:val="32"/>
          <w:lang w:val="en-US" w:eastAsia="zh-CN" w:bidi="ar"/>
        </w:rPr>
        <w:t>海洋生态灾害防治</w:t>
      </w:r>
      <w:r>
        <w:rPr>
          <w:rFonts w:hint="eastAsia" w:ascii="Times New Roman" w:hAnsi="Times New Roman" w:eastAsia="仿宋_GB2312" w:cs="仿宋_GB2312"/>
          <w:kern w:val="2"/>
          <w:sz w:val="32"/>
          <w:szCs w:val="32"/>
          <w:lang w:val="en-US" w:eastAsia="zh-CN" w:bidi="ar"/>
        </w:rPr>
        <w:t>，</w:t>
      </w:r>
      <w:r>
        <w:rPr>
          <w:rFonts w:hint="eastAsia" w:ascii="仿宋_GB2312" w:hAnsi="仿宋_GB2312" w:eastAsia="仿宋_GB2312" w:cs="仿宋_GB2312"/>
          <w:sz w:val="32"/>
          <w:szCs w:val="32"/>
          <w:lang w:val="en" w:eastAsia="zh-CN"/>
        </w:rPr>
        <w:t>直排海污染源治理、海岛海域污水垃圾等污染物治理</w:t>
      </w:r>
      <w:r>
        <w:rPr>
          <w:rFonts w:hint="default" w:eastAsia="仿宋_GB2312" w:cs="仿宋_GB2312"/>
          <w:sz w:val="32"/>
          <w:szCs w:val="32"/>
          <w:lang w:val="en" w:eastAsia="zh-CN" w:bidi="ar"/>
        </w:rPr>
        <w:t>。</w:t>
      </w:r>
      <w:r>
        <w:rPr>
          <w:rFonts w:hint="eastAsia" w:eastAsia="仿宋_GB2312" w:cs="仿宋_GB2312"/>
          <w:sz w:val="32"/>
          <w:szCs w:val="32"/>
          <w:lang w:val="en-US" w:eastAsia="zh-CN" w:bidi="ar"/>
        </w:rPr>
        <w:t>涉及</w:t>
      </w:r>
      <w:r>
        <w:rPr>
          <w:rFonts w:hint="eastAsia" w:ascii="Times New Roman" w:hAnsi="Times New Roman" w:eastAsia="仿宋_GB2312" w:cs="仿宋_GB2312"/>
          <w:sz w:val="32"/>
          <w:szCs w:val="32"/>
          <w:lang w:val="en-US" w:eastAsia="zh-CN" w:bidi="ar"/>
        </w:rPr>
        <w:t>浒苔治理</w:t>
      </w:r>
      <w:r>
        <w:rPr>
          <w:rFonts w:hint="eastAsia" w:eastAsia="仿宋_GB2312" w:cs="仿宋_GB2312"/>
          <w:sz w:val="32"/>
          <w:szCs w:val="32"/>
          <w:lang w:val="en-US" w:eastAsia="zh-CN" w:bidi="ar"/>
        </w:rPr>
        <w:t>的</w:t>
      </w:r>
      <w:r>
        <w:rPr>
          <w:rFonts w:hint="eastAsia" w:ascii="Times New Roman" w:hAnsi="Times New Roman" w:eastAsia="仿宋_GB2312" w:cs="仿宋_GB2312"/>
          <w:sz w:val="32"/>
          <w:szCs w:val="32"/>
          <w:lang w:val="en-US" w:eastAsia="zh-CN" w:bidi="ar"/>
        </w:rPr>
        <w:t>应注重</w:t>
      </w:r>
      <w:r>
        <w:rPr>
          <w:rFonts w:hint="eastAsia" w:eastAsia="仿宋_GB2312" w:cs="仿宋_GB2312"/>
          <w:sz w:val="32"/>
          <w:szCs w:val="32"/>
          <w:lang w:val="en-US" w:eastAsia="zh-CN" w:bidi="ar"/>
        </w:rPr>
        <w:t>受影响</w:t>
      </w:r>
      <w:r>
        <w:rPr>
          <w:rFonts w:hint="eastAsia" w:ascii="Times New Roman" w:hAnsi="Times New Roman" w:eastAsia="仿宋_GB2312" w:cs="仿宋_GB2312"/>
          <w:sz w:val="32"/>
          <w:szCs w:val="32"/>
          <w:lang w:val="en-US" w:eastAsia="zh-CN" w:bidi="ar"/>
        </w:rPr>
        <w:t>区域协同开展</w:t>
      </w:r>
      <w:r>
        <w:rPr>
          <w:rFonts w:hint="eastAsia" w:eastAsia="仿宋_GB2312" w:cs="仿宋_GB2312"/>
          <w:sz w:val="32"/>
          <w:szCs w:val="32"/>
          <w:lang w:val="en-US" w:eastAsia="zh-CN" w:bidi="ar"/>
        </w:rPr>
        <w:t>。涉及海洋生物种植的原则上应在第一年完成种植，以后年度加强维护或补种，确保生态效益。</w:t>
      </w:r>
      <w:r>
        <w:rPr>
          <w:rFonts w:hint="eastAsia" w:ascii="Times New Roman" w:hAnsi="Times New Roman" w:eastAsia="仿宋_GB2312" w:cs="仿宋_GB2312"/>
          <w:kern w:val="2"/>
          <w:sz w:val="32"/>
          <w:szCs w:val="32"/>
          <w:lang w:val="en-US" w:eastAsia="zh-CN" w:bidi="ar"/>
        </w:rPr>
        <w:t>项目分解为子项目的，分别明确子项目的实施内容。</w:t>
      </w:r>
    </w:p>
    <w:p w14:paraId="0917696A">
      <w:pPr>
        <w:pStyle w:val="5"/>
        <w:snapToGrid w:val="0"/>
        <w:spacing w:beforeLines="0" w:afterLines="0" w:line="580" w:lineRule="exact"/>
        <w:ind w:firstLine="0" w:firstLineChars="0"/>
        <w:rPr>
          <w:rFonts w:hint="eastAsia" w:ascii="楷体" w:hAnsi="楷体" w:eastAsia="楷体" w:cs="楷体"/>
          <w:sz w:val="32"/>
          <w:szCs w:val="32"/>
        </w:rPr>
      </w:pPr>
      <w:r>
        <w:rPr>
          <w:rFonts w:hint="eastAsia" w:ascii="Times New Roman" w:hAnsi="Times New Roman" w:eastAsia="仿宋_GB2312" w:cs="仿宋_GB2312"/>
          <w:kern w:val="2"/>
          <w:sz w:val="32"/>
          <w:szCs w:val="32"/>
          <w:lang w:val="en-US" w:eastAsia="zh-CN" w:bidi="ar"/>
        </w:rPr>
        <w:t xml:space="preserve">    逐条说明项目实施方案中是否包含以下内容</w:t>
      </w:r>
      <w:r>
        <w:rPr>
          <w:rFonts w:hint="default" w:ascii="Times New Roman" w:hAnsi="Times New Roman" w:eastAsia="仿宋_GB2312" w:cs="仿宋_GB2312"/>
          <w:kern w:val="2"/>
          <w:sz w:val="32"/>
          <w:szCs w:val="32"/>
          <w:lang w:val="en-US" w:eastAsia="zh-CN" w:bidi="ar"/>
        </w:rPr>
        <w:t>：有明确修复责任主体的项目；不符合自然保护地、生态保护红线、用海、用岛、岸线等国家管控要求的项目；涉及围填海历史遗留问题或督查整改未到位的项目；因审计、督察、巡视、财会监督、监督检查等发现违法违规问题未按时有效整改，视情节责令终止的项目；已从中央基建投资等其他渠道获得中央财政资金支持的项目；海洋生态修复效果存在较大不确定性，工程措施对生态系统造成新的破坏可能性较大，工程技术不完善等条件不成熟的项目；广场、雕塑等华而不实的景观工程建设；发放人员工资和津贴补贴、“三公”经费支出、兴建楼堂馆所、偿还举借债务及其他与海洋生态保护修复无关的支出。</w:t>
      </w:r>
    </w:p>
    <w:p w14:paraId="09D6570D">
      <w:pPr>
        <w:pStyle w:val="9"/>
        <w:widowControl/>
        <w:adjustRightInd w:val="0"/>
        <w:snapToGrid w:val="0"/>
        <w:spacing w:beforeLines="0" w:afterLines="0" w:line="580" w:lineRule="exact"/>
        <w:ind w:firstLine="640" w:firstLineChars="200"/>
        <w:rPr>
          <w:rFonts w:ascii="Times New Roman" w:hAnsi="Times New Roman" w:eastAsia="仿宋_GB2312" w:cs="仿宋_GB2312"/>
          <w:sz w:val="32"/>
          <w:szCs w:val="32"/>
        </w:rPr>
      </w:pPr>
      <w:r>
        <w:rPr>
          <w:rFonts w:hint="eastAsia" w:ascii="楷体" w:hAnsi="楷体" w:eastAsia="楷体" w:cs="楷体"/>
          <w:sz w:val="32"/>
          <w:szCs w:val="32"/>
        </w:rPr>
        <w:t>（二）技术路线。</w:t>
      </w:r>
      <w:r>
        <w:rPr>
          <w:rFonts w:hint="eastAsia" w:ascii="Times New Roman" w:hAnsi="Times New Roman" w:eastAsia="仿宋_GB2312" w:cs="仿宋_GB2312"/>
          <w:sz w:val="32"/>
          <w:szCs w:val="32"/>
        </w:rPr>
        <w:t>包括项目生态修复的总体思路、技术路线、技术手段和方法、工程布局、主要工程量等。工程方案要达到可研设计水平，方案中涉及</w:t>
      </w:r>
      <w:r>
        <w:rPr>
          <w:rFonts w:hint="eastAsia" w:ascii="Times New Roman" w:hAnsi="Times New Roman" w:eastAsia="仿宋_GB2312" w:cs="仿宋_GB2312"/>
          <w:sz w:val="32"/>
          <w:szCs w:val="32"/>
          <w:lang w:eastAsia="zh-CN"/>
        </w:rPr>
        <w:t>用海或占用土地等权属问题，涉及生态保护红线、自然保护地、确权用海和拆迁安置等</w:t>
      </w:r>
      <w:r>
        <w:rPr>
          <w:rFonts w:hint="eastAsia" w:ascii="Times New Roman" w:hAnsi="Times New Roman" w:eastAsia="仿宋_GB2312" w:cs="仿宋_GB2312"/>
          <w:sz w:val="32"/>
          <w:szCs w:val="32"/>
        </w:rPr>
        <w:t>利益相关者问题，</w:t>
      </w:r>
      <w:r>
        <w:rPr>
          <w:rFonts w:hint="eastAsia" w:ascii="Times New Roman" w:hAnsi="Times New Roman" w:eastAsia="仿宋_GB2312" w:cs="仿宋_GB2312"/>
          <w:sz w:val="32"/>
          <w:szCs w:val="32"/>
          <w:lang w:eastAsia="zh-CN"/>
        </w:rPr>
        <w:t>要逐条说明，并</w:t>
      </w:r>
      <w:r>
        <w:rPr>
          <w:rFonts w:hint="eastAsia" w:ascii="Times New Roman" w:hAnsi="Times New Roman" w:eastAsia="仿宋_GB2312" w:cs="仿宋_GB2312"/>
          <w:sz w:val="32"/>
          <w:szCs w:val="32"/>
        </w:rPr>
        <w:t>提供相关批复文件、协议书或当地政府承诺书</w:t>
      </w:r>
      <w:r>
        <w:rPr>
          <w:rFonts w:hint="eastAsia" w:ascii="Times New Roman" w:hAnsi="Times New Roman" w:eastAsia="仿宋_GB2312" w:cs="仿宋_GB2312"/>
          <w:sz w:val="32"/>
          <w:szCs w:val="32"/>
          <w:lang w:eastAsia="zh-CN"/>
        </w:rPr>
        <w:t>；涉及砂质海岸修复的，要提供沙源来源说明。</w:t>
      </w:r>
    </w:p>
    <w:p w14:paraId="5ADFFC3F">
      <w:pPr>
        <w:pStyle w:val="9"/>
        <w:widowControl/>
        <w:adjustRightInd w:val="0"/>
        <w:snapToGrid w:val="0"/>
        <w:spacing w:beforeLines="0" w:afterLines="0" w:line="580" w:lineRule="exact"/>
        <w:ind w:firstLine="640" w:firstLineChars="200"/>
        <w:rPr>
          <w:rFonts w:hint="eastAsia" w:ascii="Times New Roman" w:hAnsi="Times New Roman" w:eastAsia="仿宋_GB2312"/>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）进度安排。</w:t>
      </w:r>
      <w:r>
        <w:rPr>
          <w:rFonts w:hint="eastAsia" w:ascii="Times New Roman" w:hAnsi="Times New Roman" w:eastAsia="仿宋_GB2312" w:cs="仿宋_GB2312"/>
          <w:sz w:val="32"/>
          <w:szCs w:val="32"/>
          <w:lang w:eastAsia="zh-CN"/>
        </w:rPr>
        <w:t>项目实施期限为</w:t>
      </w:r>
      <w:r>
        <w:rPr>
          <w:rFonts w:hint="eastAsia" w:ascii="Times New Roman" w:hAnsi="Times New Roman" w:eastAsia="仿宋_GB2312" w:cs="仿宋_GB2312"/>
          <w:sz w:val="32"/>
          <w:szCs w:val="32"/>
          <w:lang w:val="en-US" w:eastAsia="zh-CN"/>
        </w:rPr>
        <w:t>3年。请</w:t>
      </w:r>
      <w:r>
        <w:rPr>
          <w:rFonts w:hint="eastAsia" w:ascii="Times New Roman" w:hAnsi="Times New Roman" w:eastAsia="仿宋_GB2312" w:cs="仿宋_GB2312"/>
          <w:sz w:val="32"/>
          <w:szCs w:val="32"/>
        </w:rPr>
        <w:t>按年度说明项目、子项目工作内容安排和实施进度。</w:t>
      </w:r>
      <w:r>
        <w:rPr>
          <w:rFonts w:hint="eastAsia" w:ascii="Times New Roman" w:hAnsi="Times New Roman" w:eastAsia="仿宋_GB2312" w:cs="仿宋_GB2312"/>
          <w:sz w:val="32"/>
          <w:szCs w:val="32"/>
          <w:lang w:eastAsia="zh-CN"/>
        </w:rPr>
        <w:t>项目申报时需说明项目成熟度并提供相关证明材料，明确项目实施各项时间节点。</w:t>
      </w:r>
    </w:p>
    <w:p w14:paraId="2C045F86">
      <w:pPr>
        <w:pStyle w:val="9"/>
        <w:widowControl/>
        <w:adjustRightInd w:val="0"/>
        <w:snapToGrid w:val="0"/>
        <w:spacing w:beforeLines="0" w:afterLines="0" w:line="580" w:lineRule="exact"/>
        <w:ind w:firstLine="640" w:firstLineChars="200"/>
        <w:outlineLvl w:val="0"/>
        <w:rPr>
          <w:rFonts w:hint="eastAsia" w:ascii="Times New Roman" w:hAnsi="Times New Roman" w:eastAsia="黑体"/>
          <w:sz w:val="32"/>
          <w:szCs w:val="32"/>
          <w:lang w:eastAsia="zh-CN"/>
        </w:rPr>
      </w:pPr>
      <w:r>
        <w:rPr>
          <w:rFonts w:hint="eastAsia" w:ascii="Times New Roman" w:hAnsi="宋体" w:eastAsia="黑体" w:cs="黑体"/>
          <w:sz w:val="32"/>
          <w:szCs w:val="32"/>
          <w:lang w:eastAsia="zh-CN"/>
        </w:rPr>
        <w:t>六</w:t>
      </w:r>
      <w:r>
        <w:rPr>
          <w:rFonts w:hint="eastAsia" w:ascii="Times New Roman" w:hAnsi="宋体" w:eastAsia="黑体" w:cs="黑体"/>
          <w:sz w:val="32"/>
          <w:szCs w:val="32"/>
        </w:rPr>
        <w:t>、</w:t>
      </w:r>
      <w:r>
        <w:rPr>
          <w:rFonts w:hint="eastAsia" w:ascii="Times New Roman" w:hAnsi="宋体" w:eastAsia="黑体" w:cs="黑体"/>
          <w:sz w:val="32"/>
          <w:szCs w:val="32"/>
          <w:lang w:eastAsia="zh-CN"/>
        </w:rPr>
        <w:t>投资概算</w:t>
      </w:r>
    </w:p>
    <w:p w14:paraId="11BDBDC9">
      <w:pPr>
        <w:pStyle w:val="5"/>
        <w:snapToGrid w:val="0"/>
        <w:spacing w:beforeLines="0" w:afterLines="0" w:line="580" w:lineRule="exact"/>
        <w:ind w:firstLine="640" w:firstLineChars="200"/>
        <w:rPr>
          <w:rFonts w:hint="eastAsia" w:ascii="黑体" w:hAnsi="宋体" w:eastAsia="仿宋_GB2312" w:cs="黑体"/>
          <w:sz w:val="32"/>
          <w:szCs w:val="32"/>
          <w:lang w:eastAsia="zh-CN"/>
        </w:rPr>
      </w:pPr>
      <w:r>
        <w:rPr>
          <w:rFonts w:hint="eastAsia" w:ascii="仿宋_GB2312" w:hAnsi="微软雅黑" w:eastAsia="仿宋_GB2312" w:cs="仿宋_GB2312"/>
          <w:kern w:val="0"/>
          <w:sz w:val="32"/>
          <w:szCs w:val="32"/>
          <w:lang w:bidi="ar"/>
        </w:rPr>
        <w:t>按照实事求是、节约集约的原则，</w:t>
      </w:r>
      <w:r>
        <w:rPr>
          <w:rFonts w:hint="eastAsia" w:ascii="仿宋_GB2312" w:hAnsi="微软雅黑" w:eastAsia="仿宋_GB2312" w:cs="仿宋_GB2312"/>
          <w:kern w:val="0"/>
          <w:sz w:val="32"/>
          <w:szCs w:val="32"/>
          <w:highlight w:val="none"/>
          <w:lang w:eastAsia="zh-CN" w:bidi="ar"/>
        </w:rPr>
        <w:t>测算提出项目概算，</w:t>
      </w:r>
      <w:r>
        <w:rPr>
          <w:rFonts w:hint="eastAsia" w:ascii="仿宋_GB2312" w:hAnsi="微软雅黑" w:eastAsia="仿宋_GB2312" w:cs="仿宋_GB2312"/>
          <w:kern w:val="0"/>
          <w:sz w:val="32"/>
          <w:szCs w:val="32"/>
          <w:lang w:eastAsia="zh-CN" w:bidi="ar"/>
        </w:rPr>
        <w:t>并明确</w:t>
      </w:r>
      <w:r>
        <w:rPr>
          <w:rFonts w:hint="eastAsia" w:ascii="仿宋_GB2312" w:hAnsi="微软雅黑" w:eastAsia="仿宋_GB2312" w:cs="仿宋_GB2312"/>
          <w:kern w:val="0"/>
          <w:sz w:val="32"/>
          <w:szCs w:val="32"/>
          <w:lang w:bidi="ar"/>
        </w:rPr>
        <w:t>测算依据、</w:t>
      </w:r>
      <w:r>
        <w:rPr>
          <w:rFonts w:hint="eastAsia" w:ascii="仿宋_GB2312" w:hAnsi="微软雅黑" w:eastAsia="仿宋_GB2312" w:cs="仿宋_GB2312"/>
          <w:kern w:val="0"/>
          <w:sz w:val="32"/>
          <w:szCs w:val="32"/>
          <w:lang w:eastAsia="zh-CN" w:bidi="ar"/>
        </w:rPr>
        <w:t>计算</w:t>
      </w:r>
      <w:r>
        <w:rPr>
          <w:rFonts w:hint="eastAsia" w:ascii="仿宋_GB2312" w:hAnsi="微软雅黑" w:eastAsia="仿宋_GB2312" w:cs="仿宋_GB2312"/>
          <w:kern w:val="0"/>
          <w:sz w:val="32"/>
          <w:szCs w:val="32"/>
          <w:lang w:bidi="ar"/>
        </w:rPr>
        <w:t>标准等；明确项目</w:t>
      </w:r>
      <w:r>
        <w:rPr>
          <w:rFonts w:hint="eastAsia" w:ascii="仿宋_GB2312" w:hAnsi="微软雅黑" w:eastAsia="仿宋_GB2312" w:cs="仿宋_GB2312"/>
          <w:kern w:val="0"/>
          <w:sz w:val="32"/>
          <w:szCs w:val="32"/>
          <w:lang w:eastAsia="zh-CN" w:bidi="ar"/>
        </w:rPr>
        <w:t>预算</w:t>
      </w:r>
      <w:r>
        <w:rPr>
          <w:rFonts w:hint="eastAsia" w:ascii="仿宋_GB2312" w:hAnsi="微软雅黑" w:eastAsia="仿宋_GB2312" w:cs="仿宋_GB2312"/>
          <w:kern w:val="0"/>
          <w:sz w:val="32"/>
          <w:szCs w:val="32"/>
          <w:lang w:bidi="ar"/>
        </w:rPr>
        <w:t>的筹措方案</w:t>
      </w:r>
      <w:r>
        <w:rPr>
          <w:rFonts w:hint="eastAsia" w:ascii="仿宋_GB2312" w:hAnsi="微软雅黑" w:eastAsia="仿宋_GB2312" w:cs="仿宋_GB2312"/>
          <w:kern w:val="0"/>
          <w:sz w:val="32"/>
          <w:szCs w:val="32"/>
          <w:lang w:eastAsia="zh-CN" w:bidi="ar"/>
        </w:rPr>
        <w:t>、资金来源渠道和金额、</w:t>
      </w:r>
      <w:r>
        <w:rPr>
          <w:rFonts w:hint="eastAsia" w:ascii="Times New Roman" w:hAnsi="Times New Roman" w:eastAsia="仿宋_GB2312" w:cs="仿宋_GB2312"/>
          <w:sz w:val="32"/>
          <w:szCs w:val="32"/>
        </w:rPr>
        <w:t>分年度资金预算</w:t>
      </w:r>
      <w:r>
        <w:rPr>
          <w:rFonts w:hint="eastAsia" w:ascii="Times New Roman" w:hAnsi="Times New Roman" w:eastAsia="仿宋_GB2312" w:cs="仿宋_GB2312"/>
          <w:sz w:val="32"/>
          <w:szCs w:val="32"/>
          <w:lang w:eastAsia="zh-CN"/>
        </w:rPr>
        <w:t>，</w:t>
      </w:r>
      <w:r>
        <w:rPr>
          <w:rFonts w:hint="eastAsia" w:ascii="仿宋_GB2312" w:hAnsi="微软雅黑" w:eastAsia="仿宋_GB2312" w:cs="仿宋_GB2312"/>
          <w:kern w:val="0"/>
          <w:sz w:val="32"/>
          <w:szCs w:val="32"/>
          <w:lang w:bidi="ar"/>
        </w:rPr>
        <w:t>其中</w:t>
      </w:r>
      <w:r>
        <w:rPr>
          <w:rFonts w:hint="eastAsia" w:ascii="仿宋_GB2312" w:hAnsi="微软雅黑" w:eastAsia="仿宋_GB2312" w:cs="仿宋_GB2312"/>
          <w:kern w:val="0"/>
          <w:sz w:val="32"/>
          <w:szCs w:val="32"/>
          <w:lang w:eastAsia="zh-CN" w:bidi="ar"/>
        </w:rPr>
        <w:t>：</w:t>
      </w:r>
      <w:r>
        <w:rPr>
          <w:rFonts w:hint="eastAsia" w:eastAsia="仿宋_GB2312" w:cs="仿宋_GB2312"/>
          <w:sz w:val="32"/>
          <w:szCs w:val="32"/>
        </w:rPr>
        <w:t>地方财政资金</w:t>
      </w:r>
      <w:r>
        <w:rPr>
          <w:rFonts w:hint="eastAsia" w:eastAsia="仿宋_GB2312" w:cs="仿宋_GB2312"/>
          <w:sz w:val="32"/>
          <w:szCs w:val="32"/>
          <w:lang w:eastAsia="zh-CN"/>
        </w:rPr>
        <w:t>需分别说明省、市、县投入金额和资金来源，社会资金需说明渠道和营利模式，并</w:t>
      </w:r>
      <w:r>
        <w:rPr>
          <w:rFonts w:hint="eastAsia" w:eastAsia="仿宋_GB2312" w:cs="仿宋_GB2312"/>
          <w:sz w:val="32"/>
          <w:szCs w:val="32"/>
        </w:rPr>
        <w:t>附</w:t>
      </w:r>
      <w:r>
        <w:rPr>
          <w:rFonts w:hint="eastAsia" w:eastAsia="仿宋_GB2312" w:cs="仿宋_GB2312"/>
          <w:sz w:val="32"/>
          <w:szCs w:val="32"/>
          <w:lang w:eastAsia="zh-CN"/>
        </w:rPr>
        <w:t>相关说</w:t>
      </w:r>
      <w:r>
        <w:rPr>
          <w:rFonts w:hint="eastAsia" w:eastAsia="仿宋_GB2312" w:cs="仿宋_GB2312"/>
          <w:sz w:val="32"/>
          <w:szCs w:val="32"/>
        </w:rPr>
        <w:t>明材料</w:t>
      </w:r>
      <w:r>
        <w:rPr>
          <w:rFonts w:hint="eastAsia" w:eastAsia="仿宋_GB2312" w:cs="仿宋_GB2312"/>
          <w:sz w:val="32"/>
          <w:szCs w:val="32"/>
          <w:lang w:eastAsia="zh-CN"/>
        </w:rPr>
        <w:t>。</w:t>
      </w:r>
      <w:r>
        <w:rPr>
          <w:rFonts w:hint="eastAsia" w:eastAsia="仿宋_GB2312" w:cs="仿宋_GB2312"/>
          <w:sz w:val="32"/>
          <w:szCs w:val="32"/>
        </w:rPr>
        <w:t>明确</w:t>
      </w:r>
      <w:r>
        <w:rPr>
          <w:rFonts w:hint="eastAsia" w:eastAsia="仿宋_GB2312" w:cs="仿宋_GB2312"/>
          <w:sz w:val="32"/>
          <w:szCs w:val="32"/>
          <w:lang w:eastAsia="zh-CN"/>
        </w:rPr>
        <w:t>项目预算</w:t>
      </w:r>
      <w:r>
        <w:rPr>
          <w:rFonts w:hint="eastAsia" w:eastAsia="仿宋_GB2312" w:cs="仿宋_GB2312"/>
          <w:sz w:val="32"/>
          <w:szCs w:val="32"/>
        </w:rPr>
        <w:t>支出明细和</w:t>
      </w:r>
      <w:r>
        <w:rPr>
          <w:rFonts w:hint="eastAsia" w:eastAsia="仿宋_GB2312" w:cs="仿宋_GB2312"/>
          <w:sz w:val="32"/>
          <w:szCs w:val="32"/>
          <w:lang w:eastAsia="zh-CN"/>
        </w:rPr>
        <w:t>中央、地方、社会资金支出明细</w:t>
      </w:r>
      <w:r>
        <w:rPr>
          <w:rFonts w:hint="eastAsia" w:ascii="仿宋_GB2312" w:hAnsi="微软雅黑" w:eastAsia="仿宋_GB2312" w:cs="仿宋_GB2312"/>
          <w:kern w:val="0"/>
          <w:sz w:val="32"/>
          <w:szCs w:val="32"/>
          <w:lang w:eastAsia="zh-CN" w:bidi="ar"/>
        </w:rPr>
        <w:t>，其中：中央财政资金主要用于支持与项目直接相关的符合资金管理办法规定的建设内容；涉及基础设施建设、信息化建设</w:t>
      </w:r>
      <w:r>
        <w:rPr>
          <w:rFonts w:hint="eastAsia" w:ascii="仿宋_GB2312" w:hAnsi="微软雅黑" w:eastAsia="仿宋_GB2312" w:cs="仿宋_GB2312"/>
          <w:kern w:val="0"/>
          <w:sz w:val="32"/>
          <w:szCs w:val="32"/>
          <w:lang w:val="en-US" w:eastAsia="zh-CN" w:bidi="ar"/>
        </w:rPr>
        <w:t>以及</w:t>
      </w:r>
      <w:r>
        <w:rPr>
          <w:rFonts w:hint="eastAsia" w:ascii="仿宋_GB2312" w:hAnsi="微软雅黑" w:eastAsia="仿宋_GB2312" w:cs="仿宋_GB2312"/>
          <w:kern w:val="0"/>
          <w:sz w:val="32"/>
          <w:szCs w:val="32"/>
          <w:lang w:eastAsia="zh-CN" w:bidi="ar"/>
        </w:rPr>
        <w:t>搬迁补偿主要由地方财政资金和社会资金解决。</w:t>
      </w:r>
    </w:p>
    <w:p w14:paraId="002C1194">
      <w:pPr>
        <w:pStyle w:val="9"/>
        <w:widowControl/>
        <w:adjustRightInd w:val="0"/>
        <w:snapToGrid w:val="0"/>
        <w:spacing w:beforeLines="0" w:afterLines="0" w:line="580" w:lineRule="exact"/>
        <w:ind w:firstLine="640" w:firstLineChars="200"/>
        <w:outlineLvl w:val="0"/>
        <w:rPr>
          <w:rFonts w:hint="eastAsia" w:ascii="Times New Roman" w:hAnsi="Times New Roman" w:eastAsia="仿宋_GB2312" w:cs="仿宋_GB2312"/>
          <w:sz w:val="32"/>
          <w:szCs w:val="32"/>
        </w:rPr>
      </w:pPr>
      <w:r>
        <w:rPr>
          <w:rFonts w:hint="eastAsia" w:ascii="黑体" w:hAnsi="宋体" w:eastAsia="黑体" w:cs="黑体"/>
          <w:sz w:val="32"/>
          <w:szCs w:val="32"/>
          <w:lang w:eastAsia="zh-CN"/>
        </w:rPr>
        <w:t>七</w:t>
      </w:r>
      <w:r>
        <w:rPr>
          <w:rFonts w:hint="eastAsia" w:ascii="黑体" w:hAnsi="宋体" w:eastAsia="黑体" w:cs="黑体"/>
          <w:sz w:val="32"/>
          <w:szCs w:val="32"/>
        </w:rPr>
        <w:t>、</w:t>
      </w:r>
      <w:r>
        <w:rPr>
          <w:rFonts w:ascii="Times New Roman" w:hAnsi="黑体" w:eastAsia="黑体"/>
          <w:sz w:val="32"/>
          <w:szCs w:val="32"/>
        </w:rPr>
        <w:t>组织实施与监督管理</w:t>
      </w:r>
    </w:p>
    <w:p w14:paraId="21407645">
      <w:pPr>
        <w:pStyle w:val="9"/>
        <w:widowControl/>
        <w:adjustRightInd w:val="0"/>
        <w:snapToGrid w:val="0"/>
        <w:spacing w:beforeLines="0" w:afterLines="0" w:line="580" w:lineRule="exact"/>
        <w:ind w:firstLine="640" w:firstLineChars="200"/>
        <w:rPr>
          <w:rFonts w:hint="eastAsia" w:ascii="仿宋_GB2312" w:hAnsi="微软雅黑" w:eastAsia="仿宋_GB2312" w:cs="仿宋_GB2312"/>
          <w:kern w:val="0"/>
          <w:sz w:val="32"/>
          <w:szCs w:val="32"/>
          <w:lang w:val="en-US" w:eastAsia="zh-CN" w:bidi="ar"/>
        </w:rPr>
      </w:pPr>
      <w:r>
        <w:rPr>
          <w:rFonts w:hint="eastAsia" w:ascii="仿宋_GB2312" w:hAnsi="微软雅黑" w:eastAsia="仿宋_GB2312" w:cs="仿宋_GB2312"/>
          <w:kern w:val="0"/>
          <w:sz w:val="32"/>
          <w:szCs w:val="32"/>
          <w:lang w:val="en-US" w:eastAsia="zh-CN" w:bidi="ar"/>
        </w:rPr>
        <w:t>要明确项目具体组织和实施的责任单位和部门，从组织领导、政策保障、管理机制、资金管理、监督检查、生态监测评估与适应性管理、长期管护等方面，说明拟采取的保障项目顺利实施的措施。</w:t>
      </w:r>
    </w:p>
    <w:p w14:paraId="542534B4">
      <w:pPr>
        <w:pStyle w:val="9"/>
        <w:widowControl/>
        <w:numPr>
          <w:ilvl w:val="0"/>
          <w:numId w:val="0"/>
        </w:numPr>
        <w:adjustRightInd w:val="0"/>
        <w:snapToGrid w:val="0"/>
        <w:spacing w:beforeLines="0" w:afterLines="0" w:line="580" w:lineRule="exact"/>
        <w:ind w:leftChars="200" w:right="0" w:rightChars="0"/>
        <w:outlineLvl w:val="0"/>
        <w:rPr>
          <w:rFonts w:hint="eastAsia" w:ascii="Times New Roman" w:hAnsi="宋体" w:eastAsia="黑体" w:cs="黑体"/>
          <w:sz w:val="32"/>
          <w:szCs w:val="32"/>
        </w:rPr>
      </w:pPr>
      <w:r>
        <w:rPr>
          <w:rFonts w:hint="eastAsia" w:ascii="Times New Roman" w:hAnsi="黑体" w:eastAsia="黑体"/>
          <w:sz w:val="32"/>
          <w:szCs w:val="32"/>
          <w:lang w:val="en-US" w:eastAsia="zh-CN"/>
        </w:rPr>
        <w:t xml:space="preserve"> 八、</w:t>
      </w:r>
      <w:r>
        <w:rPr>
          <w:rFonts w:ascii="Times New Roman" w:hAnsi="黑体" w:eastAsia="黑体"/>
          <w:sz w:val="32"/>
          <w:szCs w:val="32"/>
        </w:rPr>
        <w:t>项目考核验收</w:t>
      </w:r>
    </w:p>
    <w:p w14:paraId="1B7E1FAD">
      <w:pPr>
        <w:pStyle w:val="10"/>
        <w:adjustRightInd w:val="0"/>
        <w:snapToGrid w:val="0"/>
        <w:spacing w:beforeLines="0" w:afterLines="0" w:line="580" w:lineRule="exact"/>
        <w:ind w:firstLine="640" w:firstLineChars="200"/>
        <w:rPr>
          <w:rFonts w:hint="eastAsia" w:ascii="Times New Roman" w:hAnsi="宋体" w:eastAsia="黑体" w:cs="黑体"/>
          <w:sz w:val="32"/>
          <w:szCs w:val="32"/>
        </w:rPr>
      </w:pPr>
      <w:r>
        <w:rPr>
          <w:rFonts w:ascii="Times New Roman" w:hAnsi="Times New Roman" w:eastAsia="仿宋_GB2312"/>
          <w:sz w:val="32"/>
          <w:szCs w:val="32"/>
        </w:rPr>
        <w:t>从</w:t>
      </w:r>
      <w:r>
        <w:rPr>
          <w:rFonts w:hint="eastAsia" w:ascii="Times New Roman" w:hAnsi="Times New Roman" w:eastAsia="仿宋_GB2312"/>
          <w:sz w:val="32"/>
          <w:szCs w:val="32"/>
          <w:lang w:eastAsia="zh-CN"/>
        </w:rPr>
        <w:t>工程设计、</w:t>
      </w:r>
      <w:r>
        <w:rPr>
          <w:rFonts w:ascii="Times New Roman" w:hAnsi="Times New Roman" w:eastAsia="仿宋_GB2312"/>
          <w:sz w:val="32"/>
          <w:szCs w:val="32"/>
        </w:rPr>
        <w:t>中期考核、竣工验收、后期管护</w:t>
      </w:r>
      <w:r>
        <w:rPr>
          <w:rFonts w:hint="eastAsia" w:ascii="Times New Roman" w:hAnsi="Times New Roman" w:eastAsia="仿宋_GB2312"/>
          <w:sz w:val="32"/>
          <w:szCs w:val="32"/>
          <w:lang w:eastAsia="zh-CN"/>
        </w:rPr>
        <w:t>、</w:t>
      </w:r>
      <w:r>
        <w:rPr>
          <w:rFonts w:hint="eastAsia" w:ascii="仿宋_GB2312" w:hAnsi="微软雅黑" w:eastAsia="仿宋_GB2312" w:cs="仿宋_GB2312"/>
          <w:kern w:val="0"/>
          <w:sz w:val="32"/>
          <w:szCs w:val="32"/>
          <w:lang w:val="en-US" w:eastAsia="zh-CN" w:bidi="ar"/>
        </w:rPr>
        <w:t>生态监测评估与适应性管理</w:t>
      </w:r>
      <w:r>
        <w:rPr>
          <w:rFonts w:ascii="Times New Roman" w:hAnsi="Times New Roman" w:eastAsia="仿宋_GB2312"/>
          <w:sz w:val="32"/>
          <w:szCs w:val="32"/>
        </w:rPr>
        <w:t>等方面说明项目各阶段考核验收的条件</w:t>
      </w:r>
      <w:r>
        <w:rPr>
          <w:rFonts w:hint="eastAsia" w:ascii="Times New Roman" w:hAnsi="Times New Roman" w:eastAsia="仿宋_GB2312"/>
          <w:sz w:val="32"/>
          <w:szCs w:val="32"/>
          <w:lang w:eastAsia="zh-CN"/>
        </w:rPr>
        <w:t>、时间计划、指标内容等</w:t>
      </w:r>
      <w:r>
        <w:rPr>
          <w:rFonts w:ascii="Times New Roman" w:hAnsi="Times New Roman" w:eastAsia="仿宋_GB2312"/>
          <w:sz w:val="32"/>
          <w:szCs w:val="32"/>
        </w:rPr>
        <w:t>。</w:t>
      </w:r>
    </w:p>
    <w:p w14:paraId="5703DD15">
      <w:pPr>
        <w:pStyle w:val="9"/>
        <w:widowControl/>
        <w:numPr>
          <w:ilvl w:val="0"/>
          <w:numId w:val="0"/>
        </w:numPr>
        <w:adjustRightInd w:val="0"/>
        <w:snapToGrid w:val="0"/>
        <w:spacing w:beforeLines="0" w:afterLines="0" w:line="580" w:lineRule="exact"/>
        <w:ind w:leftChars="200" w:firstLine="0" w:firstLineChars="0"/>
        <w:outlineLvl w:val="0"/>
        <w:rPr>
          <w:rFonts w:hint="eastAsia" w:ascii="Times New Roman" w:hAnsi="宋体" w:eastAsia="黑体" w:cs="黑体"/>
          <w:sz w:val="32"/>
          <w:szCs w:val="32"/>
        </w:rPr>
      </w:pPr>
      <w:r>
        <w:rPr>
          <w:rFonts w:hint="eastAsia" w:ascii="Times New Roman" w:hAnsi="宋体" w:eastAsia="黑体" w:cs="黑体"/>
          <w:sz w:val="32"/>
          <w:szCs w:val="32"/>
          <w:lang w:val="en-US" w:eastAsia="zh-CN"/>
        </w:rPr>
        <w:t xml:space="preserve"> </w:t>
      </w:r>
      <w:r>
        <w:rPr>
          <w:rFonts w:hint="eastAsia" w:ascii="Times New Roman" w:hAnsi="宋体" w:eastAsia="黑体" w:cs="黑体"/>
          <w:sz w:val="32"/>
          <w:szCs w:val="32"/>
          <w:lang w:eastAsia="zh-CN"/>
        </w:rPr>
        <w:t>九、</w:t>
      </w:r>
      <w:r>
        <w:rPr>
          <w:rFonts w:hint="eastAsia" w:ascii="Times New Roman" w:hAnsi="宋体" w:eastAsia="黑体" w:cs="黑体"/>
          <w:sz w:val="32"/>
          <w:szCs w:val="32"/>
        </w:rPr>
        <w:t>其他事项</w:t>
      </w:r>
    </w:p>
    <w:p w14:paraId="70979ECE">
      <w:pPr>
        <w:pStyle w:val="9"/>
        <w:widowControl/>
        <w:adjustRightInd w:val="0"/>
        <w:snapToGrid w:val="0"/>
        <w:spacing w:beforeLines="0" w:afterLines="0" w:line="58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其他需要说明的内容。</w:t>
      </w:r>
    </w:p>
    <w:p w14:paraId="3F85EE3A">
      <w:pPr>
        <w:pStyle w:val="3"/>
        <w:snapToGrid w:val="0"/>
        <w:spacing w:beforeLines="0" w:afterLines="0" w:line="580" w:lineRule="exact"/>
        <w:rPr>
          <w:rFonts w:ascii="Times New Roman" w:hAnsi="Times New Roman" w:eastAsia="仿宋_GB2312" w:cs="Times New Roman"/>
          <w:sz w:val="32"/>
          <w:szCs w:val="32"/>
        </w:rPr>
      </w:pPr>
    </w:p>
    <w:p w14:paraId="25917A0A">
      <w:pPr>
        <w:pStyle w:val="3"/>
        <w:snapToGrid w:val="0"/>
        <w:spacing w:beforeLines="0" w:afterLines="0" w:line="580" w:lineRule="exact"/>
        <w:rPr>
          <w:rFonts w:hint="default" w:ascii="Times New Roman" w:hAnsi="Times New Roman" w:eastAsia="仿宋_GB2312" w:cs="Times New Roman"/>
          <w:sz w:val="32"/>
          <w:szCs w:val="32"/>
          <w:lang w:val="en-US" w:eastAsia="zh-CN"/>
        </w:rPr>
        <w:sectPr>
          <w:footerReference r:id="rId3" w:type="default"/>
          <w:footerReference r:id="rId4" w:type="even"/>
          <w:pgSz w:w="11906" w:h="16838"/>
          <w:pgMar w:top="1440" w:right="1753" w:bottom="1440" w:left="1753" w:header="851" w:footer="992" w:gutter="0"/>
          <w:cols w:space="720" w:num="1"/>
          <w:docGrid w:type="lines" w:linePitch="312" w:charSpace="0"/>
        </w:sectPr>
      </w:pPr>
      <w:r>
        <w:rPr>
          <w:rFonts w:hint="eastAsia" w:ascii="Times New Roman" w:hAnsi="Times New Roman" w:eastAsia="仿宋_GB2312" w:cs="Times New Roman"/>
          <w:sz w:val="32"/>
          <w:szCs w:val="32"/>
          <w:lang w:val="en-US" w:eastAsia="zh-CN"/>
        </w:rPr>
        <w:t xml:space="preserve">    附：项目绩效目标申报表</w:t>
      </w:r>
    </w:p>
    <w:p w14:paraId="40ED55CA">
      <w:pPr>
        <w:pStyle w:val="3"/>
        <w:snapToGrid w:val="0"/>
        <w:spacing w:line="240" w:lineRule="atLeast"/>
        <w:ind w:right="420" w:rightChars="200"/>
        <w:jc w:val="left"/>
        <w:rPr>
          <w:rFonts w:hint="eastAsia" w:ascii="黑体" w:hAnsi="黑体" w:eastAsia="黑体" w:cs="黑体"/>
          <w:sz w:val="28"/>
          <w:szCs w:val="28"/>
          <w:lang w:val="en-US" w:eastAsia="zh-CN"/>
        </w:rPr>
      </w:pPr>
      <w:r>
        <w:rPr>
          <w:rFonts w:hint="eastAsia" w:ascii="黑体" w:hAnsi="黑体" w:eastAsia="黑体" w:cs="黑体"/>
          <w:sz w:val="28"/>
          <w:szCs w:val="28"/>
          <w:lang w:val="en" w:eastAsia="zh-CN"/>
        </w:rPr>
        <w:t>附</w:t>
      </w:r>
    </w:p>
    <w:p w14:paraId="310B489C">
      <w:pPr>
        <w:pStyle w:val="3"/>
        <w:snapToGrid w:val="0"/>
        <w:spacing w:before="157" w:beforeLines="50" w:after="157" w:afterLines="50" w:line="240" w:lineRule="atLeas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项目绩效目标</w:t>
      </w:r>
      <w:r>
        <w:rPr>
          <w:rFonts w:hint="eastAsia" w:ascii="方正小标宋_GBK" w:hAnsi="方正小标宋_GBK" w:eastAsia="方正小标宋_GBK" w:cs="方正小标宋_GBK"/>
          <w:sz w:val="32"/>
          <w:szCs w:val="32"/>
          <w:lang w:eastAsia="zh-CN"/>
        </w:rPr>
        <w:t>申报</w:t>
      </w:r>
      <w:r>
        <w:rPr>
          <w:rFonts w:hint="eastAsia" w:ascii="方正小标宋_GBK" w:hAnsi="方正小标宋_GBK" w:eastAsia="方正小标宋_GBK" w:cs="方正小标宋_GBK"/>
          <w:sz w:val="32"/>
          <w:szCs w:val="32"/>
        </w:rPr>
        <w:t>表</w:t>
      </w:r>
    </w:p>
    <w:tbl>
      <w:tblPr>
        <w:tblStyle w:val="6"/>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88"/>
        <w:gridCol w:w="2277"/>
        <w:gridCol w:w="1843"/>
        <w:gridCol w:w="629"/>
        <w:gridCol w:w="1531"/>
      </w:tblGrid>
      <w:tr w14:paraId="0875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74" w:type="dxa"/>
            <w:gridSpan w:val="2"/>
            <w:tcBorders>
              <w:top w:val="single" w:color="000000" w:sz="4" w:space="0"/>
              <w:left w:val="single" w:color="000000" w:sz="4" w:space="0"/>
              <w:bottom w:val="single" w:color="000000" w:sz="4" w:space="0"/>
              <w:right w:val="single" w:color="000000" w:sz="4" w:space="0"/>
            </w:tcBorders>
            <w:noWrap w:val="0"/>
            <w:vAlign w:val="center"/>
          </w:tcPr>
          <w:p w14:paraId="42DA2535">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项目名称</w:t>
            </w:r>
          </w:p>
        </w:tc>
        <w:tc>
          <w:tcPr>
            <w:tcW w:w="6280" w:type="dxa"/>
            <w:gridSpan w:val="4"/>
            <w:tcBorders>
              <w:top w:val="single" w:color="000000" w:sz="4" w:space="0"/>
              <w:left w:val="single" w:color="000000" w:sz="4" w:space="0"/>
              <w:bottom w:val="single" w:color="000000" w:sz="4" w:space="0"/>
              <w:right w:val="single" w:color="000000" w:sz="4" w:space="0"/>
            </w:tcBorders>
            <w:noWrap w:val="0"/>
            <w:vAlign w:val="center"/>
          </w:tcPr>
          <w:p w14:paraId="5D0D8F4C">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cs="Times New Roman"/>
                <w:i w:val="0"/>
                <w:color w:val="000000"/>
                <w:sz w:val="22"/>
                <w:szCs w:val="22"/>
                <w:u w:val="none"/>
                <w:lang w:val="en-US" w:eastAsia="zh-CN"/>
              </w:rPr>
              <w:t>XX年度XXX海洋生态修复项目</w:t>
            </w:r>
          </w:p>
        </w:tc>
      </w:tr>
      <w:tr w14:paraId="2044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74" w:type="dxa"/>
            <w:gridSpan w:val="2"/>
            <w:tcBorders>
              <w:top w:val="single" w:color="000000" w:sz="4" w:space="0"/>
              <w:left w:val="single" w:color="000000" w:sz="4" w:space="0"/>
              <w:bottom w:val="single" w:color="000000" w:sz="4" w:space="0"/>
              <w:right w:val="single" w:color="000000" w:sz="4" w:space="0"/>
            </w:tcBorders>
            <w:noWrap w:val="0"/>
            <w:vAlign w:val="center"/>
          </w:tcPr>
          <w:p w14:paraId="7750B6D8">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所属专项</w:t>
            </w:r>
          </w:p>
        </w:tc>
        <w:tc>
          <w:tcPr>
            <w:tcW w:w="6280" w:type="dxa"/>
            <w:gridSpan w:val="4"/>
            <w:tcBorders>
              <w:top w:val="single" w:color="000000" w:sz="4" w:space="0"/>
              <w:left w:val="single" w:color="000000" w:sz="4" w:space="0"/>
              <w:bottom w:val="single" w:color="000000" w:sz="4" w:space="0"/>
              <w:right w:val="single" w:color="000000" w:sz="4" w:space="0"/>
            </w:tcBorders>
            <w:noWrap w:val="0"/>
            <w:vAlign w:val="center"/>
          </w:tcPr>
          <w:p w14:paraId="7EC9F6F0">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海洋生态保护修复资金</w:t>
            </w:r>
          </w:p>
        </w:tc>
      </w:tr>
      <w:tr w14:paraId="14FD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74" w:type="dxa"/>
            <w:gridSpan w:val="2"/>
            <w:tcBorders>
              <w:top w:val="single" w:color="000000" w:sz="4" w:space="0"/>
              <w:left w:val="single" w:color="000000" w:sz="4" w:space="0"/>
              <w:bottom w:val="single" w:color="000000" w:sz="4" w:space="0"/>
              <w:right w:val="single" w:color="000000" w:sz="4" w:space="0"/>
            </w:tcBorders>
            <w:noWrap w:val="0"/>
            <w:vAlign w:val="center"/>
          </w:tcPr>
          <w:p w14:paraId="2F64571E">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中央主管部门</w:t>
            </w:r>
          </w:p>
        </w:tc>
        <w:tc>
          <w:tcPr>
            <w:tcW w:w="2277" w:type="dxa"/>
            <w:tcBorders>
              <w:top w:val="single" w:color="000000" w:sz="4" w:space="0"/>
              <w:left w:val="single" w:color="000000" w:sz="4" w:space="0"/>
              <w:bottom w:val="single" w:color="000000" w:sz="4" w:space="0"/>
              <w:right w:val="single" w:color="000000" w:sz="4" w:space="0"/>
            </w:tcBorders>
            <w:noWrap w:val="0"/>
            <w:vAlign w:val="center"/>
          </w:tcPr>
          <w:p w14:paraId="7DDF3926">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自然资源部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994A300">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省级财政部门</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7AAB1490">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cs="Times New Roman"/>
                <w:i w:val="0"/>
                <w:color w:val="000000"/>
                <w:sz w:val="22"/>
                <w:szCs w:val="22"/>
                <w:u w:val="none"/>
                <w:lang w:val="en-US" w:eastAsia="zh-CN"/>
              </w:rPr>
              <w:t>XX财政厅（局）</w:t>
            </w:r>
          </w:p>
        </w:tc>
      </w:tr>
      <w:tr w14:paraId="0B1F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74" w:type="dxa"/>
            <w:gridSpan w:val="2"/>
            <w:tcBorders>
              <w:top w:val="single" w:color="000000" w:sz="4" w:space="0"/>
              <w:left w:val="single" w:color="000000" w:sz="4" w:space="0"/>
              <w:bottom w:val="single" w:color="000000" w:sz="4" w:space="0"/>
              <w:right w:val="single" w:color="000000" w:sz="4" w:space="0"/>
            </w:tcBorders>
            <w:noWrap w:val="0"/>
            <w:vAlign w:val="center"/>
          </w:tcPr>
          <w:p w14:paraId="5EBDBF6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省级主管部门</w:t>
            </w:r>
          </w:p>
        </w:tc>
        <w:tc>
          <w:tcPr>
            <w:tcW w:w="2277" w:type="dxa"/>
            <w:tcBorders>
              <w:top w:val="single" w:color="000000" w:sz="4" w:space="0"/>
              <w:left w:val="single" w:color="000000" w:sz="4" w:space="0"/>
              <w:bottom w:val="single" w:color="000000" w:sz="4" w:space="0"/>
              <w:right w:val="single" w:color="000000" w:sz="4" w:space="0"/>
            </w:tcBorders>
            <w:noWrap w:val="0"/>
            <w:vAlign w:val="center"/>
          </w:tcPr>
          <w:p w14:paraId="63849D0E">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cs="Times New Roman"/>
                <w:i w:val="0"/>
                <w:color w:val="000000"/>
                <w:sz w:val="22"/>
                <w:szCs w:val="22"/>
                <w:u w:val="none"/>
                <w:lang w:val="en-US" w:eastAsia="zh-CN"/>
              </w:rPr>
              <w:t>XX自然资源厅（局）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5942E9D">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具体实施单位</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7E7E12AC">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cs="Times New Roman"/>
                <w:i w:val="0"/>
                <w:color w:val="000000"/>
                <w:sz w:val="22"/>
                <w:szCs w:val="22"/>
                <w:u w:val="none"/>
                <w:lang w:val="en-US" w:eastAsia="zh-CN"/>
              </w:rPr>
              <w:t>XX市人民政府</w:t>
            </w:r>
          </w:p>
        </w:tc>
      </w:tr>
      <w:tr w14:paraId="1BBB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9C04B5E">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资金投入</w:t>
            </w:r>
            <w:r>
              <w:rPr>
                <w:rStyle w:val="12"/>
                <w:rFonts w:eastAsia="宋体"/>
                <w:lang w:val="en-US" w:eastAsia="zh-CN" w:bidi="ar"/>
              </w:rPr>
              <w:br w:type="textWrapping"/>
            </w:r>
            <w:r>
              <w:rPr>
                <w:rStyle w:val="11"/>
                <w:lang w:val="en-US" w:eastAsia="zh-CN" w:bidi="ar"/>
              </w:rPr>
              <w:t>（万元）</w:t>
            </w:r>
          </w:p>
        </w:tc>
        <w:tc>
          <w:tcPr>
            <w:tcW w:w="2277" w:type="dxa"/>
            <w:tcBorders>
              <w:top w:val="single" w:color="000000" w:sz="4" w:space="0"/>
              <w:left w:val="single" w:color="000000" w:sz="4" w:space="0"/>
              <w:bottom w:val="single" w:color="000000" w:sz="4" w:space="0"/>
              <w:right w:val="single" w:color="000000" w:sz="4" w:space="0"/>
            </w:tcBorders>
            <w:noWrap w:val="0"/>
            <w:vAlign w:val="center"/>
          </w:tcPr>
          <w:p w14:paraId="245E5918">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rFonts w:hint="eastAsia"/>
                <w:lang w:val="en-US" w:eastAsia="zh-CN" w:bidi="ar"/>
              </w:rPr>
              <w:t>项目投资</w:t>
            </w:r>
            <w:r>
              <w:rPr>
                <w:rStyle w:val="11"/>
                <w:lang w:val="en-US" w:eastAsia="zh-CN" w:bidi="ar"/>
              </w:rPr>
              <w:t>总额</w:t>
            </w:r>
          </w:p>
        </w:tc>
        <w:tc>
          <w:tcPr>
            <w:tcW w:w="4003" w:type="dxa"/>
            <w:gridSpan w:val="3"/>
            <w:tcBorders>
              <w:top w:val="single" w:color="000000" w:sz="4" w:space="0"/>
              <w:left w:val="single" w:color="000000" w:sz="4" w:space="0"/>
              <w:bottom w:val="single" w:color="000000" w:sz="4" w:space="0"/>
              <w:right w:val="single" w:color="000000" w:sz="4" w:space="0"/>
            </w:tcBorders>
            <w:noWrap w:val="0"/>
            <w:vAlign w:val="center"/>
          </w:tcPr>
          <w:p w14:paraId="00CD20BD">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p>
        </w:tc>
      </w:tr>
      <w:tr w14:paraId="03EF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424C0E">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tcBorders>
              <w:top w:val="single" w:color="000000" w:sz="4" w:space="0"/>
              <w:left w:val="single" w:color="000000" w:sz="4" w:space="0"/>
              <w:bottom w:val="single" w:color="000000" w:sz="4" w:space="0"/>
              <w:right w:val="single" w:color="000000" w:sz="4" w:space="0"/>
            </w:tcBorders>
            <w:noWrap w:val="0"/>
            <w:vAlign w:val="center"/>
          </w:tcPr>
          <w:p w14:paraId="26534B54">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3"/>
                <w:lang w:val="en-US" w:eastAsia="zh-CN" w:bidi="ar"/>
              </w:rPr>
              <w:t>其中：中央财政资金</w:t>
            </w:r>
          </w:p>
        </w:tc>
        <w:tc>
          <w:tcPr>
            <w:tcW w:w="4003" w:type="dxa"/>
            <w:gridSpan w:val="3"/>
            <w:tcBorders>
              <w:top w:val="single" w:color="000000" w:sz="4" w:space="0"/>
              <w:left w:val="single" w:color="000000" w:sz="4" w:space="0"/>
              <w:bottom w:val="single" w:color="000000" w:sz="4" w:space="0"/>
              <w:right w:val="single" w:color="000000" w:sz="4" w:space="0"/>
            </w:tcBorders>
            <w:noWrap w:val="0"/>
            <w:vAlign w:val="center"/>
          </w:tcPr>
          <w:p w14:paraId="233224D7">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p>
        </w:tc>
      </w:tr>
      <w:tr w14:paraId="3914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7D5B8D">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tcBorders>
              <w:top w:val="single" w:color="000000" w:sz="4" w:space="0"/>
              <w:left w:val="single" w:color="000000" w:sz="4" w:space="0"/>
              <w:bottom w:val="single" w:color="000000" w:sz="4" w:space="0"/>
              <w:right w:val="single" w:color="000000" w:sz="4" w:space="0"/>
            </w:tcBorders>
            <w:noWrap w:val="0"/>
            <w:vAlign w:val="center"/>
          </w:tcPr>
          <w:p w14:paraId="09DD9FF5">
            <w:pPr>
              <w:keepNext w:val="0"/>
              <w:keepLines w:val="0"/>
              <w:widowControl/>
              <w:suppressLineNumbers w:val="0"/>
              <w:snapToGrid w:val="0"/>
              <w:spacing w:line="240" w:lineRule="atLeast"/>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地方</w:t>
            </w:r>
            <w:r>
              <w:rPr>
                <w:rFonts w:hint="eastAsia" w:ascii="宋体" w:hAnsi="宋体" w:cs="宋体"/>
                <w:i w:val="0"/>
                <w:color w:val="000000"/>
                <w:kern w:val="0"/>
                <w:sz w:val="22"/>
                <w:szCs w:val="22"/>
                <w:u w:val="none"/>
                <w:lang w:val="en-US" w:eastAsia="zh-CN" w:bidi="ar"/>
              </w:rPr>
              <w:t>筹集</w:t>
            </w:r>
            <w:r>
              <w:rPr>
                <w:rFonts w:hint="eastAsia" w:ascii="宋体" w:hAnsi="宋体" w:eastAsia="宋体" w:cs="宋体"/>
                <w:i w:val="0"/>
                <w:color w:val="000000"/>
                <w:kern w:val="0"/>
                <w:sz w:val="22"/>
                <w:szCs w:val="22"/>
                <w:u w:val="none"/>
                <w:lang w:val="en-US" w:eastAsia="zh-CN" w:bidi="ar"/>
              </w:rPr>
              <w:t>资金</w:t>
            </w:r>
          </w:p>
        </w:tc>
        <w:tc>
          <w:tcPr>
            <w:tcW w:w="4003" w:type="dxa"/>
            <w:gridSpan w:val="3"/>
            <w:tcBorders>
              <w:top w:val="single" w:color="000000" w:sz="4" w:space="0"/>
              <w:left w:val="single" w:color="000000" w:sz="4" w:space="0"/>
              <w:bottom w:val="single" w:color="000000" w:sz="4" w:space="0"/>
              <w:right w:val="single" w:color="000000" w:sz="4" w:space="0"/>
            </w:tcBorders>
            <w:noWrap w:val="0"/>
            <w:vAlign w:val="center"/>
          </w:tcPr>
          <w:p w14:paraId="6D3CE038">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p>
        </w:tc>
      </w:tr>
      <w:tr w14:paraId="0D17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tcBorders>
              <w:top w:val="nil"/>
              <w:left w:val="single" w:color="000000" w:sz="4" w:space="0"/>
              <w:bottom w:val="single" w:color="000000" w:sz="4" w:space="0"/>
              <w:right w:val="single" w:color="000000" w:sz="4" w:space="0"/>
            </w:tcBorders>
            <w:noWrap w:val="0"/>
            <w:vAlign w:val="center"/>
          </w:tcPr>
          <w:p w14:paraId="15515506">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总体目标</w:t>
            </w:r>
          </w:p>
        </w:tc>
        <w:tc>
          <w:tcPr>
            <w:tcW w:w="7668" w:type="dxa"/>
            <w:gridSpan w:val="5"/>
            <w:tcBorders>
              <w:top w:val="nil"/>
              <w:left w:val="single" w:color="000000" w:sz="4" w:space="0"/>
              <w:bottom w:val="single" w:color="000000" w:sz="4" w:space="0"/>
              <w:right w:val="single" w:color="000000" w:sz="4" w:space="0"/>
            </w:tcBorders>
            <w:noWrap w:val="0"/>
            <w:vAlign w:val="center"/>
          </w:tcPr>
          <w:p w14:paraId="352C4F1C">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cs="Times New Roman"/>
                <w:i w:val="0"/>
                <w:color w:val="000000"/>
                <w:sz w:val="22"/>
                <w:szCs w:val="22"/>
                <w:u w:val="none"/>
                <w:lang w:eastAsia="zh-CN"/>
              </w:rPr>
              <w:t>开展海洋生态修复，完成生态修复总面积</w:t>
            </w:r>
            <w:r>
              <w:rPr>
                <w:rFonts w:hint="eastAsia" w:cs="Times New Roman"/>
                <w:i w:val="0"/>
                <w:color w:val="000000"/>
                <w:sz w:val="22"/>
                <w:szCs w:val="22"/>
                <w:u w:val="none"/>
                <w:lang w:val="en-US" w:eastAsia="zh-CN"/>
              </w:rPr>
              <w:t>XX公顷，提升区域生态系统稳定性。</w:t>
            </w:r>
          </w:p>
        </w:tc>
      </w:tr>
      <w:tr w14:paraId="468C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268B6322">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绩效指标</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0923CEB4">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一级指标</w:t>
            </w:r>
          </w:p>
        </w:tc>
        <w:tc>
          <w:tcPr>
            <w:tcW w:w="2277" w:type="dxa"/>
            <w:tcBorders>
              <w:top w:val="single" w:color="000000" w:sz="4" w:space="0"/>
              <w:left w:val="single" w:color="000000" w:sz="4" w:space="0"/>
              <w:bottom w:val="single" w:color="000000" w:sz="4" w:space="0"/>
              <w:right w:val="single" w:color="000000" w:sz="4" w:space="0"/>
            </w:tcBorders>
            <w:noWrap w:val="0"/>
            <w:vAlign w:val="center"/>
          </w:tcPr>
          <w:p w14:paraId="28B8B976">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二级指标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679D0EC4">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三级指标</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1C0591A9">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指标值</w:t>
            </w:r>
          </w:p>
        </w:tc>
      </w:tr>
      <w:tr w14:paraId="2231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2F192">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306CF4">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产出指标</w:t>
            </w:r>
          </w:p>
        </w:tc>
        <w:tc>
          <w:tcPr>
            <w:tcW w:w="2277" w:type="dxa"/>
            <w:vMerge w:val="restart"/>
            <w:tcBorders>
              <w:top w:val="single" w:color="000000" w:sz="4" w:space="0"/>
              <w:left w:val="single" w:color="000000" w:sz="4" w:space="0"/>
              <w:bottom w:val="single" w:color="000000" w:sz="4" w:space="0"/>
              <w:right w:val="single" w:color="000000" w:sz="4" w:space="0"/>
            </w:tcBorders>
            <w:noWrap w:val="0"/>
            <w:vAlign w:val="center"/>
          </w:tcPr>
          <w:p w14:paraId="4DF30959">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数量指标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549AC3C8">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r>
              <w:rPr>
                <w:rFonts w:hint="eastAsia" w:ascii="宋体" w:hAnsi="宋体" w:cs="宋体"/>
                <w:i w:val="0"/>
                <w:color w:val="000000"/>
                <w:sz w:val="22"/>
                <w:szCs w:val="22"/>
                <w:u w:val="none"/>
                <w:lang w:eastAsia="zh-CN"/>
              </w:rPr>
              <w:t>完成生态修复总面积</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12C43D3C">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XX公顷</w:t>
            </w:r>
          </w:p>
        </w:tc>
      </w:tr>
      <w:tr w14:paraId="0ECC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812C9">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E45DE">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995B6">
            <w:pPr>
              <w:snapToGrid w:val="0"/>
              <w:spacing w:line="240" w:lineRule="atLeast"/>
              <w:jc w:val="center"/>
              <w:rPr>
                <w:rFonts w:hint="default" w:ascii="Times New Roman" w:hAnsi="Times New Roman" w:eastAsia="宋体" w:cs="Times New Roman"/>
                <w:i w:val="0"/>
                <w:color w:val="000000"/>
                <w:sz w:val="22"/>
                <w:szCs w:val="22"/>
                <w:u w:val="none"/>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2048B5B7">
            <w:pPr>
              <w:keepNext w:val="0"/>
              <w:keepLines w:val="0"/>
              <w:widowControl/>
              <w:suppressLineNumbers w:val="0"/>
              <w:snapToGrid w:val="0"/>
              <w:spacing w:line="240" w:lineRule="atLeast"/>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滨海湿地整治修复面积</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260DD5F1">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sz w:val="22"/>
                <w:szCs w:val="22"/>
                <w:u w:val="none"/>
                <w:lang w:val="en-US" w:eastAsia="zh-CN"/>
              </w:rPr>
              <w:t>XX公顷</w:t>
            </w:r>
          </w:p>
        </w:tc>
      </w:tr>
      <w:tr w14:paraId="3637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DAF28">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6DC1E">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9BC93">
            <w:pPr>
              <w:snapToGrid w:val="0"/>
              <w:spacing w:line="240" w:lineRule="atLeast"/>
              <w:jc w:val="center"/>
              <w:rPr>
                <w:rFonts w:hint="default" w:ascii="Times New Roman" w:hAnsi="Times New Roman" w:eastAsia="宋体" w:cs="Times New Roman"/>
                <w:i w:val="0"/>
                <w:color w:val="000000"/>
                <w:sz w:val="22"/>
                <w:szCs w:val="22"/>
                <w:u w:val="none"/>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7F08A8A9">
            <w:pPr>
              <w:keepNext w:val="0"/>
              <w:keepLines w:val="0"/>
              <w:widowControl/>
              <w:suppressLineNumbers w:val="0"/>
              <w:snapToGrid w:val="0"/>
              <w:spacing w:line="240" w:lineRule="atLeast"/>
              <w:jc w:val="center"/>
              <w:textAlignment w:val="center"/>
              <w:rPr>
                <w:rFonts w:hint="eastAsia" w:ascii="Times New Roman" w:hAnsi="Times New Roman" w:eastAsia="宋体" w:cs="Times New Roman"/>
                <w:i w:val="0"/>
                <w:color w:val="000000"/>
                <w:sz w:val="22"/>
                <w:szCs w:val="22"/>
                <w:u w:val="none"/>
                <w:lang w:eastAsia="zh-CN"/>
              </w:rPr>
            </w:pPr>
            <w:r>
              <w:rPr>
                <w:rFonts w:hint="eastAsia" w:ascii="Times New Roman" w:hAnsi="Times New Roman" w:cs="Times New Roman"/>
                <w:i w:val="0"/>
                <w:color w:val="000000"/>
                <w:sz w:val="22"/>
                <w:szCs w:val="22"/>
                <w:u w:val="none"/>
                <w:lang w:eastAsia="zh-CN"/>
              </w:rPr>
              <w:t>岸线</w:t>
            </w:r>
            <w:r>
              <w:rPr>
                <w:rFonts w:hint="eastAsia" w:cs="Times New Roman"/>
                <w:i w:val="0"/>
                <w:color w:val="000000"/>
                <w:sz w:val="22"/>
                <w:szCs w:val="22"/>
                <w:u w:val="none"/>
                <w:lang w:eastAsia="zh-CN"/>
              </w:rPr>
              <w:t>整治</w:t>
            </w:r>
            <w:r>
              <w:rPr>
                <w:rFonts w:hint="eastAsia" w:ascii="Times New Roman" w:hAnsi="Times New Roman" w:cs="Times New Roman"/>
                <w:i w:val="0"/>
                <w:color w:val="000000"/>
                <w:sz w:val="22"/>
                <w:szCs w:val="22"/>
                <w:u w:val="none"/>
                <w:lang w:eastAsia="zh-CN"/>
              </w:rPr>
              <w:t>修复长度</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0DD5184F">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XX米</w:t>
            </w:r>
          </w:p>
        </w:tc>
      </w:tr>
      <w:tr w14:paraId="142F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59E55">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FF8D0">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30175">
            <w:pPr>
              <w:snapToGrid w:val="0"/>
              <w:spacing w:line="240" w:lineRule="atLeast"/>
              <w:jc w:val="center"/>
              <w:rPr>
                <w:rFonts w:hint="default" w:ascii="Times New Roman" w:hAnsi="Times New Roman" w:eastAsia="宋体" w:cs="Times New Roman"/>
                <w:i w:val="0"/>
                <w:color w:val="000000"/>
                <w:sz w:val="22"/>
                <w:szCs w:val="22"/>
                <w:u w:val="none"/>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5EC6FB28">
            <w:pPr>
              <w:keepNext w:val="0"/>
              <w:keepLines w:val="0"/>
              <w:widowControl/>
              <w:suppressLineNumbers w:val="0"/>
              <w:snapToGrid w:val="0"/>
              <w:spacing w:line="240" w:lineRule="atLeast"/>
              <w:jc w:val="center"/>
              <w:textAlignment w:val="center"/>
              <w:rPr>
                <w:rFonts w:hint="eastAsia" w:ascii="宋体" w:hAnsi="宋体" w:eastAsia="宋体" w:cs="宋体"/>
                <w:i w:val="0"/>
                <w:color w:val="000000"/>
                <w:sz w:val="22"/>
                <w:szCs w:val="22"/>
                <w:u w:val="none"/>
                <w:lang w:eastAsia="zh-CN"/>
              </w:rPr>
            </w:pPr>
            <w:r>
              <w:rPr>
                <w:rFonts w:hint="eastAsia" w:cs="Times New Roman"/>
                <w:i w:val="0"/>
                <w:color w:val="000000"/>
                <w:sz w:val="22"/>
                <w:szCs w:val="22"/>
                <w:u w:val="none"/>
                <w:lang w:eastAsia="zh-CN"/>
              </w:rPr>
              <w:t>整治</w:t>
            </w:r>
            <w:r>
              <w:rPr>
                <w:rFonts w:hint="eastAsia" w:ascii="Times New Roman" w:hAnsi="Times New Roman" w:cs="Times New Roman"/>
                <w:i w:val="0"/>
                <w:color w:val="000000"/>
                <w:sz w:val="22"/>
                <w:szCs w:val="22"/>
                <w:u w:val="none"/>
                <w:lang w:eastAsia="zh-CN"/>
              </w:rPr>
              <w:t>修复海岛数量</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427A9CE6">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XX个</w:t>
            </w:r>
          </w:p>
        </w:tc>
      </w:tr>
      <w:tr w14:paraId="1DF4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BF740">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C18DA">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E77DA">
            <w:pPr>
              <w:snapToGrid w:val="0"/>
              <w:spacing w:line="240" w:lineRule="atLeast"/>
              <w:jc w:val="center"/>
              <w:rPr>
                <w:rFonts w:hint="default" w:ascii="Times New Roman" w:hAnsi="Times New Roman" w:eastAsia="宋体" w:cs="Times New Roman"/>
                <w:i w:val="0"/>
                <w:color w:val="000000"/>
                <w:sz w:val="22"/>
                <w:szCs w:val="22"/>
                <w:u w:val="none"/>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63685A9C">
            <w:pPr>
              <w:keepNext w:val="0"/>
              <w:keepLines w:val="0"/>
              <w:widowControl/>
              <w:suppressLineNumbers w:val="0"/>
              <w:snapToGrid w:val="0"/>
              <w:spacing w:line="240" w:lineRule="atLeast"/>
              <w:jc w:val="center"/>
              <w:textAlignment w:val="center"/>
              <w:rPr>
                <w:rFonts w:hint="eastAsia" w:ascii="宋体" w:hAnsi="宋体" w:eastAsia="宋体" w:cs="宋体"/>
                <w:i w:val="0"/>
                <w:color w:val="000000"/>
                <w:kern w:val="2"/>
                <w:sz w:val="22"/>
                <w:szCs w:val="22"/>
                <w:u w:val="none"/>
                <w:lang w:val="en-US" w:eastAsia="zh-CN" w:bidi="ar-SA"/>
              </w:rPr>
            </w:pPr>
            <w:r>
              <w:rPr>
                <w:rFonts w:hint="eastAsia" w:cs="Times New Roman"/>
                <w:i w:val="0"/>
                <w:color w:val="000000"/>
                <w:sz w:val="22"/>
                <w:szCs w:val="22"/>
                <w:u w:val="none"/>
                <w:lang w:eastAsia="zh-CN"/>
              </w:rPr>
              <w:t>修复后符合自然</w:t>
            </w:r>
            <w:r>
              <w:rPr>
                <w:rFonts w:hint="eastAsia" w:ascii="Times New Roman" w:hAnsi="Times New Roman" w:cs="Times New Roman"/>
                <w:i w:val="0"/>
                <w:color w:val="000000"/>
                <w:sz w:val="22"/>
                <w:szCs w:val="22"/>
                <w:u w:val="none"/>
                <w:lang w:eastAsia="zh-CN"/>
              </w:rPr>
              <w:t>岸线</w:t>
            </w:r>
            <w:r>
              <w:rPr>
                <w:rFonts w:hint="eastAsia" w:cs="Times New Roman"/>
                <w:i w:val="0"/>
                <w:color w:val="000000"/>
                <w:sz w:val="22"/>
                <w:szCs w:val="22"/>
                <w:u w:val="none"/>
                <w:lang w:eastAsia="zh-CN"/>
              </w:rPr>
              <w:t>认定标准的岸线</w:t>
            </w:r>
            <w:r>
              <w:rPr>
                <w:rFonts w:hint="eastAsia" w:ascii="Times New Roman" w:hAnsi="Times New Roman" w:cs="Times New Roman"/>
                <w:i w:val="0"/>
                <w:color w:val="000000"/>
                <w:sz w:val="22"/>
                <w:szCs w:val="22"/>
                <w:u w:val="none"/>
                <w:lang w:eastAsia="zh-CN"/>
              </w:rPr>
              <w:t>长度</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1DA596A8">
            <w:pPr>
              <w:keepNext w:val="0"/>
              <w:keepLines w:val="0"/>
              <w:widowControl/>
              <w:suppressLineNumbers w:val="0"/>
              <w:snapToGrid w:val="0"/>
              <w:spacing w:line="240" w:lineRule="atLeast"/>
              <w:jc w:val="center"/>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Times New Roman" w:hAnsi="Times New Roman" w:cs="Times New Roman"/>
                <w:i w:val="0"/>
                <w:color w:val="000000"/>
                <w:sz w:val="22"/>
                <w:szCs w:val="22"/>
                <w:u w:val="none"/>
                <w:lang w:val="en-US" w:eastAsia="zh-CN"/>
              </w:rPr>
              <w:t>XX米</w:t>
            </w:r>
          </w:p>
        </w:tc>
      </w:tr>
      <w:tr w14:paraId="0EDB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A4175">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03FA4">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7E005">
            <w:pPr>
              <w:snapToGrid w:val="0"/>
              <w:spacing w:line="240" w:lineRule="atLeast"/>
              <w:jc w:val="center"/>
              <w:rPr>
                <w:rFonts w:hint="default" w:ascii="Times New Roman" w:hAnsi="Times New Roman" w:eastAsia="宋体" w:cs="Times New Roman"/>
                <w:i w:val="0"/>
                <w:color w:val="000000"/>
                <w:sz w:val="22"/>
                <w:szCs w:val="22"/>
                <w:u w:val="none"/>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33E18D9E">
            <w:pPr>
              <w:keepNext w:val="0"/>
              <w:keepLines w:val="0"/>
              <w:widowControl/>
              <w:suppressLineNumbers w:val="0"/>
              <w:snapToGrid w:val="0"/>
              <w:spacing w:line="240" w:lineRule="atLeast"/>
              <w:jc w:val="center"/>
              <w:textAlignment w:val="center"/>
              <w:rPr>
                <w:rFonts w:hint="eastAsia" w:ascii="Times New Roman" w:hAnsi="Times New Roman" w:eastAsia="宋体" w:cs="Times New Roman"/>
                <w:i w:val="0"/>
                <w:color w:val="000000"/>
                <w:sz w:val="22"/>
                <w:szCs w:val="22"/>
                <w:u w:val="none"/>
                <w:lang w:eastAsia="zh-CN"/>
              </w:rPr>
            </w:pPr>
            <w:r>
              <w:rPr>
                <w:rFonts w:hint="eastAsia" w:ascii="Times New Roman" w:hAnsi="Times New Roman" w:cs="Times New Roman"/>
                <w:i w:val="0"/>
                <w:color w:val="000000"/>
                <w:sz w:val="22"/>
                <w:szCs w:val="22"/>
                <w:u w:val="none"/>
                <w:lang w:eastAsia="zh-CN"/>
              </w:rPr>
              <w:t>……</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6BFC196A">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p>
        </w:tc>
      </w:tr>
      <w:tr w14:paraId="0B8F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25F74">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2F5DB0">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vMerge w:val="restart"/>
            <w:tcBorders>
              <w:top w:val="single" w:color="000000" w:sz="4" w:space="0"/>
              <w:left w:val="single" w:color="000000" w:sz="4" w:space="0"/>
              <w:right w:val="single" w:color="000000" w:sz="4" w:space="0"/>
            </w:tcBorders>
            <w:noWrap w:val="0"/>
            <w:vAlign w:val="center"/>
          </w:tcPr>
          <w:p w14:paraId="0F267C04">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质量指标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28BD78A7">
            <w:pPr>
              <w:keepNext w:val="0"/>
              <w:keepLines w:val="0"/>
              <w:widowControl/>
              <w:suppressLineNumbers w:val="0"/>
              <w:snapToGrid w:val="0"/>
              <w:spacing w:line="240" w:lineRule="atLeas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eastAsia="zh-CN"/>
              </w:rPr>
              <w:t>工程质量合格率</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09CDE411">
            <w:pPr>
              <w:keepNext w:val="0"/>
              <w:keepLines w:val="0"/>
              <w:widowControl/>
              <w:suppressLineNumbers w:val="0"/>
              <w:snapToGrid w:val="0"/>
              <w:spacing w:line="240" w:lineRule="atLeast"/>
              <w:jc w:val="center"/>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Times New Roman" w:hAnsi="Times New Roman" w:cs="Times New Roman"/>
                <w:i w:val="0"/>
                <w:color w:val="000000"/>
                <w:sz w:val="22"/>
                <w:szCs w:val="22"/>
                <w:u w:val="none"/>
                <w:lang w:val="en-US" w:eastAsia="zh-CN"/>
              </w:rPr>
              <w:t>100%</w:t>
            </w:r>
          </w:p>
        </w:tc>
      </w:tr>
      <w:tr w14:paraId="3F86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7F21E">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DC9E1">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vMerge w:val="continue"/>
            <w:tcBorders>
              <w:left w:val="single" w:color="000000" w:sz="4" w:space="0"/>
              <w:bottom w:val="single" w:color="000000" w:sz="4" w:space="0"/>
              <w:right w:val="single" w:color="000000" w:sz="4" w:space="0"/>
            </w:tcBorders>
            <w:noWrap w:val="0"/>
            <w:vAlign w:val="center"/>
          </w:tcPr>
          <w:p w14:paraId="2BED6532">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6BAAE9A3">
            <w:pPr>
              <w:keepNext w:val="0"/>
              <w:keepLines w:val="0"/>
              <w:widowControl/>
              <w:suppressLineNumbers w:val="0"/>
              <w:snapToGrid w:val="0"/>
              <w:spacing w:line="240" w:lineRule="atLeast"/>
              <w:jc w:val="center"/>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Times New Roman" w:hAnsi="Times New Roman" w:cs="Times New Roman"/>
                <w:i w:val="0"/>
                <w:color w:val="000000"/>
                <w:sz w:val="22"/>
                <w:szCs w:val="22"/>
                <w:u w:val="none"/>
                <w:lang w:eastAsia="zh-CN"/>
              </w:rPr>
              <w:t>植被存活率</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10566661">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cs="Times New Roman"/>
                <w:i w:val="0"/>
                <w:color w:val="000000"/>
                <w:sz w:val="22"/>
                <w:szCs w:val="22"/>
                <w:u w:val="none"/>
                <w:lang w:val="en-US" w:eastAsia="zh-CN"/>
              </w:rPr>
              <w:t>XX</w:t>
            </w:r>
            <w:r>
              <w:rPr>
                <w:rFonts w:hint="eastAsia" w:ascii="Times New Roman" w:hAnsi="Times New Roman" w:cs="Times New Roman"/>
                <w:i w:val="0"/>
                <w:color w:val="000000"/>
                <w:sz w:val="22"/>
                <w:szCs w:val="22"/>
                <w:u w:val="none"/>
                <w:lang w:val="en-US" w:eastAsia="zh-CN"/>
              </w:rPr>
              <w:t>%</w:t>
            </w:r>
          </w:p>
        </w:tc>
      </w:tr>
      <w:tr w14:paraId="42D3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left w:val="single" w:color="000000" w:sz="4" w:space="0"/>
              <w:right w:val="single" w:color="000000" w:sz="4" w:space="0"/>
            </w:tcBorders>
            <w:noWrap w:val="0"/>
            <w:vAlign w:val="center"/>
          </w:tcPr>
          <w:p w14:paraId="6768797D">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left w:val="single" w:color="000000" w:sz="4" w:space="0"/>
              <w:right w:val="single" w:color="000000" w:sz="4" w:space="0"/>
            </w:tcBorders>
            <w:noWrap w:val="0"/>
            <w:vAlign w:val="center"/>
          </w:tcPr>
          <w:p w14:paraId="7DE0949A">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tcBorders>
              <w:left w:val="single" w:color="000000" w:sz="4" w:space="0"/>
              <w:bottom w:val="single" w:color="000000" w:sz="4" w:space="0"/>
              <w:right w:val="single" w:color="000000" w:sz="4" w:space="0"/>
            </w:tcBorders>
            <w:noWrap w:val="0"/>
            <w:vAlign w:val="center"/>
          </w:tcPr>
          <w:p w14:paraId="0CBDB281">
            <w:pPr>
              <w:keepNext w:val="0"/>
              <w:keepLines w:val="0"/>
              <w:widowControl/>
              <w:suppressLineNumbers w:val="0"/>
              <w:snapToGrid w:val="0"/>
              <w:spacing w:line="240" w:lineRule="atLeast"/>
              <w:jc w:val="center"/>
              <w:textAlignment w:val="center"/>
              <w:rPr>
                <w:rFonts w:hint="eastAsia" w:ascii="Times New Roman" w:hAnsi="Times New Roman" w:eastAsia="宋体" w:cs="Times New Roman"/>
                <w:i w:val="0"/>
                <w:color w:val="000000"/>
                <w:sz w:val="22"/>
                <w:szCs w:val="22"/>
                <w:u w:val="none"/>
                <w:lang w:eastAsia="zh-CN"/>
              </w:rPr>
            </w:pPr>
            <w:r>
              <w:rPr>
                <w:rFonts w:hint="eastAsia" w:ascii="Times New Roman" w:hAnsi="Times New Roman" w:cs="Times New Roman"/>
                <w:i w:val="0"/>
                <w:color w:val="000000"/>
                <w:sz w:val="22"/>
                <w:szCs w:val="22"/>
                <w:u w:val="none"/>
                <w:lang w:eastAsia="zh-CN"/>
              </w:rPr>
              <w:t>时效指标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14C3FB66">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r>
              <w:rPr>
                <w:rFonts w:hint="eastAsia" w:cs="Times New Roman"/>
                <w:i w:val="0"/>
                <w:color w:val="000000"/>
                <w:sz w:val="22"/>
                <w:szCs w:val="22"/>
                <w:u w:val="none"/>
                <w:lang w:eastAsia="zh-CN"/>
              </w:rPr>
              <w:t>项目按时完成率</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02D2C899">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100%</w:t>
            </w:r>
          </w:p>
        </w:tc>
      </w:tr>
      <w:tr w14:paraId="4744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left w:val="single" w:color="000000" w:sz="4" w:space="0"/>
              <w:right w:val="single" w:color="000000" w:sz="4" w:space="0"/>
            </w:tcBorders>
            <w:noWrap w:val="0"/>
            <w:vAlign w:val="center"/>
          </w:tcPr>
          <w:p w14:paraId="541487E1">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left w:val="single" w:color="000000" w:sz="4" w:space="0"/>
              <w:bottom w:val="single" w:color="000000" w:sz="4" w:space="0"/>
              <w:right w:val="single" w:color="000000" w:sz="4" w:space="0"/>
            </w:tcBorders>
            <w:noWrap w:val="0"/>
            <w:vAlign w:val="center"/>
          </w:tcPr>
          <w:p w14:paraId="2439B7F4">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tcBorders>
              <w:left w:val="single" w:color="000000" w:sz="4" w:space="0"/>
              <w:bottom w:val="single" w:color="000000" w:sz="4" w:space="0"/>
              <w:right w:val="single" w:color="000000" w:sz="4" w:space="0"/>
            </w:tcBorders>
            <w:noWrap w:val="0"/>
            <w:vAlign w:val="center"/>
          </w:tcPr>
          <w:p w14:paraId="119A39DE">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r>
              <w:rPr>
                <w:rFonts w:hint="eastAsia" w:ascii="Times New Roman" w:hAnsi="Times New Roman" w:cs="Times New Roman"/>
                <w:i w:val="0"/>
                <w:color w:val="000000"/>
                <w:sz w:val="22"/>
                <w:szCs w:val="22"/>
                <w:u w:val="none"/>
                <w:lang w:eastAsia="zh-CN"/>
              </w:rPr>
              <w:t>成本指标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29E979E0">
            <w:pPr>
              <w:keepNext w:val="0"/>
              <w:keepLines w:val="0"/>
              <w:widowControl/>
              <w:suppressLineNumbers w:val="0"/>
              <w:snapToGrid w:val="0"/>
              <w:spacing w:line="240" w:lineRule="atLeast"/>
              <w:jc w:val="center"/>
              <w:textAlignment w:val="center"/>
              <w:rPr>
                <w:rFonts w:hint="default" w:ascii="Times New Roman" w:hAnsi="Times New Roman" w:cs="Times New Roman"/>
                <w:i w:val="0"/>
                <w:color w:val="000000"/>
                <w:sz w:val="22"/>
                <w:szCs w:val="22"/>
                <w:u w:val="none"/>
                <w:lang w:val="en-US" w:eastAsia="zh-CN"/>
              </w:rPr>
            </w:pPr>
            <w:r>
              <w:rPr>
                <w:rFonts w:hint="eastAsia" w:cs="Times New Roman"/>
                <w:i w:val="0"/>
                <w:color w:val="000000"/>
                <w:sz w:val="22"/>
                <w:szCs w:val="22"/>
                <w:u w:val="none"/>
                <w:lang w:val="en-US" w:eastAsia="zh-CN"/>
              </w:rPr>
              <w:t>XXX工程单位成本控制数</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6F13B5E2">
            <w:pPr>
              <w:keepNext w:val="0"/>
              <w:keepLines w:val="0"/>
              <w:widowControl/>
              <w:suppressLineNumbers w:val="0"/>
              <w:snapToGrid w:val="0"/>
              <w:spacing w:line="240" w:lineRule="atLeast"/>
              <w:jc w:val="center"/>
              <w:textAlignment w:val="center"/>
              <w:rPr>
                <w:rFonts w:hint="default" w:ascii="Times New Roman" w:hAnsi="Times New Roman" w:cs="Times New Roman"/>
                <w:i w:val="0"/>
                <w:color w:val="000000"/>
                <w:sz w:val="22"/>
                <w:szCs w:val="22"/>
                <w:u w:val="none"/>
                <w:lang w:val="en-US" w:eastAsia="zh-CN"/>
              </w:rPr>
            </w:pPr>
            <w:r>
              <w:rPr>
                <w:rFonts w:hint="eastAsia" w:cs="Times New Roman"/>
                <w:i w:val="0"/>
                <w:color w:val="000000"/>
                <w:sz w:val="22"/>
                <w:szCs w:val="22"/>
                <w:u w:val="none"/>
                <w:lang w:val="en-US" w:eastAsia="zh-CN"/>
              </w:rPr>
              <w:t>XX万元/平方米</w:t>
            </w:r>
          </w:p>
        </w:tc>
      </w:tr>
      <w:tr w14:paraId="5DD7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noWrap w:val="0"/>
            <w:vAlign w:val="center"/>
          </w:tcPr>
          <w:p w14:paraId="132C0DFB">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noWrap w:val="0"/>
            <w:vAlign w:val="center"/>
          </w:tcPr>
          <w:p w14:paraId="1F6651F6">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noWrap w:val="0"/>
            <w:vAlign w:val="center"/>
          </w:tcPr>
          <w:p w14:paraId="77F43537">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r>
              <w:rPr>
                <w:rFonts w:hint="eastAsia" w:ascii="Times New Roman" w:hAnsi="Times New Roman" w:cs="Times New Roman"/>
                <w:i w:val="0"/>
                <w:color w:val="000000"/>
                <w:sz w:val="22"/>
                <w:szCs w:val="22"/>
                <w:u w:val="none"/>
                <w:lang w:eastAsia="zh-CN"/>
              </w:rPr>
              <w:t>……</w:t>
            </w:r>
          </w:p>
        </w:tc>
        <w:tc>
          <w:tcPr>
            <w:tcW w:w="2472" w:type="dxa"/>
            <w:gridSpan w:val="2"/>
            <w:noWrap w:val="0"/>
            <w:vAlign w:val="center"/>
          </w:tcPr>
          <w:p w14:paraId="775FE562">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p>
        </w:tc>
        <w:tc>
          <w:tcPr>
            <w:tcW w:w="1531" w:type="dxa"/>
            <w:noWrap w:val="0"/>
            <w:vAlign w:val="center"/>
          </w:tcPr>
          <w:p w14:paraId="040777DA">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val="en-US" w:eastAsia="zh-CN"/>
              </w:rPr>
            </w:pPr>
          </w:p>
        </w:tc>
      </w:tr>
      <w:tr w14:paraId="3DE3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left w:val="single" w:color="000000" w:sz="4" w:space="0"/>
              <w:right w:val="single" w:color="000000" w:sz="4" w:space="0"/>
            </w:tcBorders>
            <w:noWrap w:val="0"/>
            <w:vAlign w:val="center"/>
          </w:tcPr>
          <w:p w14:paraId="7D515BAC">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restart"/>
            <w:tcBorders>
              <w:top w:val="single" w:color="000000" w:sz="4" w:space="0"/>
              <w:left w:val="single" w:color="000000" w:sz="4" w:space="0"/>
              <w:right w:val="single" w:color="000000" w:sz="4" w:space="0"/>
            </w:tcBorders>
            <w:noWrap w:val="0"/>
            <w:vAlign w:val="center"/>
          </w:tcPr>
          <w:p w14:paraId="23A17638">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效益指标</w:t>
            </w:r>
          </w:p>
        </w:tc>
        <w:tc>
          <w:tcPr>
            <w:tcW w:w="2277" w:type="dxa"/>
            <w:vMerge w:val="restart"/>
            <w:tcBorders>
              <w:top w:val="single" w:color="000000" w:sz="4" w:space="0"/>
              <w:left w:val="single" w:color="000000" w:sz="4" w:space="0"/>
              <w:right w:val="single" w:color="000000" w:sz="4" w:space="0"/>
            </w:tcBorders>
            <w:noWrap w:val="0"/>
            <w:vAlign w:val="center"/>
          </w:tcPr>
          <w:p w14:paraId="7F26FA90">
            <w:pPr>
              <w:keepNext w:val="0"/>
              <w:keepLines w:val="0"/>
              <w:widowControl/>
              <w:suppressLineNumbers w:val="0"/>
              <w:snapToGrid w:val="0"/>
              <w:spacing w:line="240" w:lineRule="atLeast"/>
              <w:jc w:val="center"/>
              <w:textAlignment w:val="center"/>
              <w:rPr>
                <w:rStyle w:val="11"/>
                <w:lang w:val="en-US" w:eastAsia="zh-CN" w:bidi="ar"/>
              </w:rPr>
            </w:pPr>
            <w:r>
              <w:rPr>
                <w:rStyle w:val="11"/>
                <w:lang w:val="en-US" w:eastAsia="zh-CN" w:bidi="ar"/>
              </w:rPr>
              <w:t>社会效益指标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4960BC3E">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r>
              <w:rPr>
                <w:rFonts w:hint="eastAsia" w:cs="Times New Roman"/>
                <w:i w:val="0"/>
                <w:color w:val="000000"/>
                <w:sz w:val="22"/>
                <w:szCs w:val="22"/>
                <w:u w:val="none"/>
                <w:lang w:eastAsia="zh-CN"/>
              </w:rPr>
              <w:t>人居环境改善受惠人数</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7BA4AACC">
            <w:pPr>
              <w:keepNext w:val="0"/>
              <w:keepLines w:val="0"/>
              <w:widowControl/>
              <w:suppressLineNumbers w:val="0"/>
              <w:snapToGrid w:val="0"/>
              <w:spacing w:line="240" w:lineRule="atLeast"/>
              <w:jc w:val="center"/>
              <w:textAlignment w:val="center"/>
              <w:rPr>
                <w:rFonts w:hint="default" w:ascii="Times New Roman" w:hAnsi="Times New Roman" w:cs="Times New Roman"/>
                <w:i w:val="0"/>
                <w:color w:val="000000"/>
                <w:sz w:val="22"/>
                <w:szCs w:val="22"/>
                <w:u w:val="none"/>
                <w:lang w:val="en-US" w:eastAsia="zh-CN"/>
              </w:rPr>
            </w:pPr>
            <w:r>
              <w:rPr>
                <w:rFonts w:hint="eastAsia" w:cs="Times New Roman"/>
                <w:i w:val="0"/>
                <w:color w:val="000000"/>
                <w:sz w:val="22"/>
                <w:szCs w:val="22"/>
                <w:u w:val="none"/>
                <w:lang w:val="en-US" w:eastAsia="zh-CN"/>
              </w:rPr>
              <w:t>XX万人</w:t>
            </w:r>
          </w:p>
        </w:tc>
      </w:tr>
      <w:tr w14:paraId="7AD8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left w:val="single" w:color="000000" w:sz="4" w:space="0"/>
              <w:right w:val="single" w:color="000000" w:sz="4" w:space="0"/>
            </w:tcBorders>
            <w:noWrap w:val="0"/>
            <w:vAlign w:val="center"/>
          </w:tcPr>
          <w:p w14:paraId="1C01CB06">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left w:val="single" w:color="000000" w:sz="4" w:space="0"/>
              <w:right w:val="single" w:color="000000" w:sz="4" w:space="0"/>
            </w:tcBorders>
            <w:noWrap w:val="0"/>
            <w:vAlign w:val="center"/>
          </w:tcPr>
          <w:p w14:paraId="4BC90891">
            <w:pPr>
              <w:keepNext w:val="0"/>
              <w:keepLines w:val="0"/>
              <w:widowControl/>
              <w:suppressLineNumbers w:val="0"/>
              <w:snapToGrid w:val="0"/>
              <w:spacing w:line="240" w:lineRule="atLeast"/>
              <w:jc w:val="center"/>
              <w:textAlignment w:val="center"/>
              <w:rPr>
                <w:rStyle w:val="11"/>
                <w:lang w:val="en-US" w:eastAsia="zh-CN" w:bidi="ar"/>
              </w:rPr>
            </w:pPr>
          </w:p>
        </w:tc>
        <w:tc>
          <w:tcPr>
            <w:tcW w:w="2277" w:type="dxa"/>
            <w:vMerge w:val="continue"/>
            <w:tcBorders>
              <w:left w:val="single" w:color="000000" w:sz="4" w:space="0"/>
              <w:bottom w:val="single" w:color="000000" w:sz="4" w:space="0"/>
              <w:right w:val="single" w:color="000000" w:sz="4" w:space="0"/>
            </w:tcBorders>
            <w:noWrap w:val="0"/>
            <w:vAlign w:val="center"/>
          </w:tcPr>
          <w:p w14:paraId="3CC4EA60">
            <w:pPr>
              <w:keepNext w:val="0"/>
              <w:keepLines w:val="0"/>
              <w:widowControl/>
              <w:suppressLineNumbers w:val="0"/>
              <w:snapToGrid w:val="0"/>
              <w:spacing w:line="240" w:lineRule="atLeast"/>
              <w:jc w:val="center"/>
              <w:textAlignment w:val="center"/>
              <w:rPr>
                <w:rStyle w:val="11"/>
                <w:lang w:val="en-US" w:eastAsia="zh-CN" w:bidi="ar"/>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45CD5371">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r>
              <w:rPr>
                <w:rFonts w:hint="eastAsia" w:ascii="Times New Roman" w:hAnsi="Times New Roman" w:cs="Times New Roman"/>
                <w:i w:val="0"/>
                <w:color w:val="000000"/>
                <w:sz w:val="22"/>
                <w:szCs w:val="22"/>
                <w:u w:val="none"/>
                <w:lang w:eastAsia="zh-CN"/>
              </w:rPr>
              <w:t>……</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644C1E5E">
            <w:pPr>
              <w:keepNext w:val="0"/>
              <w:keepLines w:val="0"/>
              <w:widowControl/>
              <w:suppressLineNumbers w:val="0"/>
              <w:snapToGrid w:val="0"/>
              <w:spacing w:line="240" w:lineRule="atLeast"/>
              <w:jc w:val="center"/>
              <w:textAlignment w:val="center"/>
              <w:rPr>
                <w:rFonts w:hint="eastAsia" w:cs="Times New Roman"/>
                <w:i w:val="0"/>
                <w:color w:val="000000"/>
                <w:sz w:val="22"/>
                <w:szCs w:val="22"/>
                <w:u w:val="none"/>
                <w:lang w:val="en-US" w:eastAsia="zh-CN"/>
              </w:rPr>
            </w:pPr>
          </w:p>
        </w:tc>
      </w:tr>
      <w:tr w14:paraId="0E30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left w:val="single" w:color="000000" w:sz="4" w:space="0"/>
              <w:right w:val="single" w:color="000000" w:sz="4" w:space="0"/>
            </w:tcBorders>
            <w:noWrap w:val="0"/>
            <w:vAlign w:val="center"/>
          </w:tcPr>
          <w:p w14:paraId="18D1DE9D">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left w:val="single" w:color="000000" w:sz="4" w:space="0"/>
              <w:right w:val="single" w:color="000000" w:sz="4" w:space="0"/>
            </w:tcBorders>
            <w:noWrap w:val="0"/>
            <w:vAlign w:val="center"/>
          </w:tcPr>
          <w:p w14:paraId="76EF524A">
            <w:pPr>
              <w:keepNext w:val="0"/>
              <w:keepLines w:val="0"/>
              <w:widowControl/>
              <w:suppressLineNumbers w:val="0"/>
              <w:snapToGrid w:val="0"/>
              <w:spacing w:line="240" w:lineRule="atLeast"/>
              <w:jc w:val="center"/>
              <w:textAlignment w:val="center"/>
              <w:rPr>
                <w:rStyle w:val="11"/>
                <w:lang w:val="en-US" w:eastAsia="zh-CN" w:bidi="ar"/>
              </w:rPr>
            </w:pPr>
          </w:p>
        </w:tc>
        <w:tc>
          <w:tcPr>
            <w:tcW w:w="2277" w:type="dxa"/>
            <w:vMerge w:val="restart"/>
            <w:tcBorders>
              <w:top w:val="single" w:color="000000" w:sz="4" w:space="0"/>
              <w:left w:val="single" w:color="000000" w:sz="4" w:space="0"/>
              <w:right w:val="single" w:color="000000" w:sz="4" w:space="0"/>
            </w:tcBorders>
            <w:noWrap w:val="0"/>
            <w:vAlign w:val="center"/>
          </w:tcPr>
          <w:p w14:paraId="1F7FD8EB">
            <w:pPr>
              <w:keepNext w:val="0"/>
              <w:keepLines w:val="0"/>
              <w:widowControl/>
              <w:suppressLineNumbers w:val="0"/>
              <w:snapToGrid w:val="0"/>
              <w:spacing w:line="240" w:lineRule="atLeast"/>
              <w:jc w:val="center"/>
              <w:textAlignment w:val="center"/>
              <w:rPr>
                <w:rStyle w:val="11"/>
                <w:lang w:val="en-US" w:eastAsia="zh-CN" w:bidi="ar"/>
              </w:rPr>
            </w:pPr>
            <w:r>
              <w:rPr>
                <w:rStyle w:val="11"/>
                <w:lang w:val="en-US" w:eastAsia="zh-CN" w:bidi="ar"/>
              </w:rPr>
              <w:t>生态效益指标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7790027D">
            <w:pPr>
              <w:keepNext w:val="0"/>
              <w:keepLines w:val="0"/>
              <w:widowControl/>
              <w:suppressLineNumbers w:val="0"/>
              <w:snapToGrid w:val="0"/>
              <w:spacing w:line="240" w:lineRule="atLeast"/>
              <w:jc w:val="both"/>
              <w:textAlignment w:val="center"/>
              <w:rPr>
                <w:rFonts w:hint="eastAsia" w:ascii="Times New Roman" w:hAnsi="Times New Roman" w:cs="Times New Roman"/>
                <w:i w:val="0"/>
                <w:color w:val="000000"/>
                <w:sz w:val="22"/>
                <w:szCs w:val="22"/>
                <w:u w:val="none"/>
                <w:lang w:eastAsia="zh-CN"/>
              </w:rPr>
            </w:pPr>
            <w:r>
              <w:rPr>
                <w:rFonts w:hint="eastAsia" w:cs="Times New Roman"/>
                <w:i w:val="0"/>
                <w:color w:val="000000"/>
                <w:sz w:val="22"/>
                <w:szCs w:val="22"/>
                <w:u w:val="none"/>
                <w:lang w:val="en-US" w:eastAsia="zh-CN"/>
              </w:rPr>
              <w:t>保护修复区域植被盖度</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1D9CC1A9">
            <w:pPr>
              <w:keepNext w:val="0"/>
              <w:keepLines w:val="0"/>
              <w:widowControl/>
              <w:suppressLineNumbers w:val="0"/>
              <w:snapToGrid w:val="0"/>
              <w:spacing w:line="240" w:lineRule="atLeast"/>
              <w:jc w:val="center"/>
              <w:textAlignment w:val="center"/>
              <w:rPr>
                <w:rFonts w:hint="default" w:ascii="Times New Roman" w:hAnsi="Times New Roman" w:cs="Times New Roman"/>
                <w:i w:val="0"/>
                <w:color w:val="000000"/>
                <w:sz w:val="22"/>
                <w:szCs w:val="22"/>
                <w:u w:val="none"/>
                <w:lang w:val="en-US" w:eastAsia="zh-CN"/>
              </w:rPr>
            </w:pPr>
            <w:r>
              <w:rPr>
                <w:rFonts w:hint="eastAsia" w:cs="Times New Roman"/>
                <w:i w:val="0"/>
                <w:color w:val="000000"/>
                <w:sz w:val="22"/>
                <w:szCs w:val="22"/>
                <w:u w:val="none"/>
                <w:lang w:val="en-US" w:eastAsia="zh-CN"/>
              </w:rPr>
              <w:t>XX%</w:t>
            </w:r>
          </w:p>
        </w:tc>
      </w:tr>
      <w:tr w14:paraId="19EF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left w:val="single" w:color="000000" w:sz="4" w:space="0"/>
              <w:right w:val="single" w:color="000000" w:sz="4" w:space="0"/>
            </w:tcBorders>
            <w:noWrap w:val="0"/>
            <w:vAlign w:val="center"/>
          </w:tcPr>
          <w:p w14:paraId="0CA7500A">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left w:val="single" w:color="000000" w:sz="4" w:space="0"/>
              <w:right w:val="single" w:color="000000" w:sz="4" w:space="0"/>
            </w:tcBorders>
            <w:noWrap w:val="0"/>
            <w:vAlign w:val="center"/>
          </w:tcPr>
          <w:p w14:paraId="0363F246">
            <w:pPr>
              <w:keepNext w:val="0"/>
              <w:keepLines w:val="0"/>
              <w:widowControl/>
              <w:suppressLineNumbers w:val="0"/>
              <w:snapToGrid w:val="0"/>
              <w:spacing w:line="240" w:lineRule="atLeast"/>
              <w:jc w:val="center"/>
              <w:textAlignment w:val="center"/>
              <w:rPr>
                <w:rStyle w:val="11"/>
                <w:lang w:val="en-US" w:eastAsia="zh-CN" w:bidi="ar"/>
              </w:rPr>
            </w:pPr>
          </w:p>
        </w:tc>
        <w:tc>
          <w:tcPr>
            <w:tcW w:w="2277" w:type="dxa"/>
            <w:vMerge w:val="continue"/>
            <w:tcBorders>
              <w:left w:val="single" w:color="000000" w:sz="4" w:space="0"/>
              <w:bottom w:val="single" w:color="000000" w:sz="4" w:space="0"/>
              <w:right w:val="single" w:color="000000" w:sz="4" w:space="0"/>
            </w:tcBorders>
            <w:noWrap w:val="0"/>
            <w:vAlign w:val="center"/>
          </w:tcPr>
          <w:p w14:paraId="22204D85">
            <w:pPr>
              <w:keepNext w:val="0"/>
              <w:keepLines w:val="0"/>
              <w:widowControl/>
              <w:suppressLineNumbers w:val="0"/>
              <w:snapToGrid w:val="0"/>
              <w:spacing w:line="240" w:lineRule="atLeast"/>
              <w:jc w:val="center"/>
              <w:textAlignment w:val="center"/>
              <w:rPr>
                <w:rStyle w:val="11"/>
                <w:lang w:val="en-US" w:eastAsia="zh-CN" w:bidi="ar"/>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27B1C26B">
            <w:pPr>
              <w:keepNext w:val="0"/>
              <w:keepLines w:val="0"/>
              <w:widowControl/>
              <w:suppressLineNumbers w:val="0"/>
              <w:snapToGrid w:val="0"/>
              <w:spacing w:line="240" w:lineRule="atLeast"/>
              <w:jc w:val="center"/>
              <w:textAlignment w:val="center"/>
              <w:rPr>
                <w:rFonts w:hint="eastAsia"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eastAsia="zh-CN"/>
              </w:rPr>
              <w:t>……</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2BBF5155">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p>
        </w:tc>
      </w:tr>
      <w:tr w14:paraId="4631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BB8D5">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70B57">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p>
        </w:tc>
        <w:tc>
          <w:tcPr>
            <w:tcW w:w="2277" w:type="dxa"/>
            <w:vMerge w:val="restart"/>
            <w:tcBorders>
              <w:top w:val="single" w:color="000000" w:sz="4" w:space="0"/>
              <w:left w:val="single" w:color="000000" w:sz="4" w:space="0"/>
              <w:bottom w:val="single" w:color="000000" w:sz="4" w:space="0"/>
              <w:right w:val="single" w:color="000000" w:sz="4" w:space="0"/>
            </w:tcBorders>
            <w:noWrap w:val="0"/>
            <w:vAlign w:val="center"/>
          </w:tcPr>
          <w:p w14:paraId="15477759">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可持续影响指标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61B80313">
            <w:pPr>
              <w:keepNext w:val="0"/>
              <w:keepLines w:val="0"/>
              <w:widowControl/>
              <w:suppressLineNumbers w:val="0"/>
              <w:snapToGrid w:val="0"/>
              <w:spacing w:line="240" w:lineRule="atLeast"/>
              <w:jc w:val="center"/>
              <w:textAlignment w:val="center"/>
              <w:rPr>
                <w:rFonts w:hint="eastAsia" w:ascii="Times New Roman" w:hAnsi="Times New Roman" w:eastAsia="宋体" w:cs="Times New Roman"/>
                <w:i w:val="0"/>
                <w:color w:val="000000"/>
                <w:sz w:val="22"/>
                <w:szCs w:val="22"/>
                <w:u w:val="none"/>
                <w:lang w:eastAsia="zh-CN"/>
              </w:rPr>
            </w:pPr>
            <w:r>
              <w:rPr>
                <w:rFonts w:hint="eastAsia" w:ascii="Times New Roman" w:hAnsi="Times New Roman" w:cs="Times New Roman"/>
                <w:i w:val="0"/>
                <w:color w:val="000000"/>
                <w:sz w:val="22"/>
                <w:szCs w:val="22"/>
                <w:u w:val="none"/>
                <w:lang w:eastAsia="zh-CN"/>
              </w:rPr>
              <w:t>后期管护持续时间</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31378E3C">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XX年</w:t>
            </w:r>
          </w:p>
        </w:tc>
      </w:tr>
      <w:tr w14:paraId="4493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5CE94">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left w:val="single" w:color="000000" w:sz="4" w:space="0"/>
              <w:right w:val="single" w:color="000000" w:sz="4" w:space="0"/>
            </w:tcBorders>
            <w:noWrap w:val="0"/>
            <w:vAlign w:val="center"/>
          </w:tcPr>
          <w:p w14:paraId="4ECDD215">
            <w:pPr>
              <w:keepNext w:val="0"/>
              <w:keepLines w:val="0"/>
              <w:widowControl/>
              <w:suppressLineNumbers w:val="0"/>
              <w:snapToGrid w:val="0"/>
              <w:spacing w:line="240" w:lineRule="atLeast"/>
              <w:jc w:val="center"/>
              <w:textAlignment w:val="center"/>
              <w:rPr>
                <w:rStyle w:val="11"/>
                <w:lang w:val="en-US" w:eastAsia="zh-CN" w:bidi="ar"/>
              </w:rPr>
            </w:pPr>
          </w:p>
        </w:tc>
        <w:tc>
          <w:tcPr>
            <w:tcW w:w="2277" w:type="dxa"/>
            <w:vMerge w:val="continue"/>
            <w:tcBorders>
              <w:left w:val="single" w:color="000000" w:sz="4" w:space="0"/>
              <w:right w:val="single" w:color="000000" w:sz="4" w:space="0"/>
            </w:tcBorders>
            <w:noWrap w:val="0"/>
            <w:vAlign w:val="center"/>
          </w:tcPr>
          <w:p w14:paraId="402B1AB0">
            <w:pPr>
              <w:keepNext w:val="0"/>
              <w:keepLines w:val="0"/>
              <w:widowControl/>
              <w:suppressLineNumbers w:val="0"/>
              <w:snapToGrid w:val="0"/>
              <w:spacing w:line="240" w:lineRule="atLeast"/>
              <w:jc w:val="center"/>
              <w:textAlignment w:val="center"/>
              <w:rPr>
                <w:rStyle w:val="11"/>
                <w:lang w:val="en-US" w:eastAsia="zh-CN" w:bidi="ar"/>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7212C9F7">
            <w:pPr>
              <w:keepNext w:val="0"/>
              <w:keepLines w:val="0"/>
              <w:widowControl/>
              <w:suppressLineNumbers w:val="0"/>
              <w:snapToGrid w:val="0"/>
              <w:spacing w:line="240" w:lineRule="atLeast"/>
              <w:jc w:val="center"/>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Times New Roman" w:hAnsi="Times New Roman" w:cs="Times New Roman"/>
                <w:i w:val="0"/>
                <w:color w:val="000000"/>
                <w:sz w:val="22"/>
                <w:szCs w:val="22"/>
                <w:u w:val="none"/>
                <w:lang w:eastAsia="zh-CN"/>
              </w:rPr>
              <w:t>……</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38A6CCA0">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p>
        </w:tc>
      </w:tr>
      <w:tr w14:paraId="6E7E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noWrap w:val="0"/>
            <w:vAlign w:val="center"/>
          </w:tcPr>
          <w:p w14:paraId="4D7CD535">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noWrap w:val="0"/>
            <w:vAlign w:val="center"/>
          </w:tcPr>
          <w:p w14:paraId="13E15D90">
            <w:pPr>
              <w:keepNext w:val="0"/>
              <w:keepLines w:val="0"/>
              <w:widowControl/>
              <w:suppressLineNumbers w:val="0"/>
              <w:snapToGrid w:val="0"/>
              <w:spacing w:line="240" w:lineRule="atLeast"/>
              <w:jc w:val="center"/>
              <w:textAlignment w:val="center"/>
              <w:rPr>
                <w:rStyle w:val="11"/>
                <w:lang w:val="en-US" w:eastAsia="zh-CN" w:bidi="ar"/>
              </w:rPr>
            </w:pPr>
          </w:p>
        </w:tc>
        <w:tc>
          <w:tcPr>
            <w:tcW w:w="2277" w:type="dxa"/>
            <w:noWrap w:val="0"/>
            <w:vAlign w:val="center"/>
          </w:tcPr>
          <w:p w14:paraId="68262103">
            <w:pPr>
              <w:keepNext w:val="0"/>
              <w:keepLines w:val="0"/>
              <w:widowControl/>
              <w:suppressLineNumbers w:val="0"/>
              <w:snapToGrid w:val="0"/>
              <w:spacing w:line="240" w:lineRule="atLeast"/>
              <w:jc w:val="center"/>
              <w:textAlignment w:val="center"/>
              <w:rPr>
                <w:rStyle w:val="11"/>
                <w:lang w:val="en-US" w:eastAsia="zh-CN" w:bidi="ar"/>
              </w:rPr>
            </w:pPr>
            <w:r>
              <w:rPr>
                <w:rStyle w:val="11"/>
                <w:lang w:val="en-US" w:eastAsia="zh-CN" w:bidi="ar"/>
              </w:rPr>
              <w:t>……</w:t>
            </w:r>
          </w:p>
        </w:tc>
        <w:tc>
          <w:tcPr>
            <w:tcW w:w="2472" w:type="dxa"/>
            <w:gridSpan w:val="2"/>
            <w:noWrap w:val="0"/>
            <w:vAlign w:val="center"/>
          </w:tcPr>
          <w:p w14:paraId="7B1021C4">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p>
        </w:tc>
        <w:tc>
          <w:tcPr>
            <w:tcW w:w="1531" w:type="dxa"/>
            <w:noWrap w:val="0"/>
            <w:vAlign w:val="center"/>
          </w:tcPr>
          <w:p w14:paraId="683597A0">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p>
        </w:tc>
      </w:tr>
      <w:tr w14:paraId="6350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6" w:type="dxa"/>
            <w:vMerge w:val="continue"/>
            <w:tcBorders>
              <w:left w:val="single" w:color="000000" w:sz="4" w:space="0"/>
              <w:bottom w:val="single" w:color="000000" w:sz="4" w:space="0"/>
              <w:right w:val="single" w:color="000000" w:sz="4" w:space="0"/>
            </w:tcBorders>
            <w:noWrap w:val="0"/>
            <w:vAlign w:val="center"/>
          </w:tcPr>
          <w:p w14:paraId="31982B90">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tcBorders>
              <w:left w:val="single" w:color="000000" w:sz="4" w:space="0"/>
              <w:right w:val="single" w:color="000000" w:sz="4" w:space="0"/>
            </w:tcBorders>
            <w:noWrap w:val="0"/>
            <w:vAlign w:val="center"/>
          </w:tcPr>
          <w:p w14:paraId="5EFDDA18">
            <w:pPr>
              <w:keepNext w:val="0"/>
              <w:keepLines w:val="0"/>
              <w:widowControl/>
              <w:suppressLineNumbers w:val="0"/>
              <w:snapToGrid w:val="0"/>
              <w:spacing w:line="240" w:lineRule="atLeast"/>
              <w:jc w:val="center"/>
              <w:textAlignment w:val="center"/>
              <w:rPr>
                <w:rStyle w:val="11"/>
                <w:lang w:val="en-US" w:eastAsia="zh-CN" w:bidi="ar"/>
              </w:rPr>
            </w:pPr>
            <w:r>
              <w:rPr>
                <w:rStyle w:val="11"/>
                <w:lang w:val="en-US" w:eastAsia="zh-CN" w:bidi="ar"/>
              </w:rPr>
              <w:t>满意度指标</w:t>
            </w:r>
          </w:p>
        </w:tc>
        <w:tc>
          <w:tcPr>
            <w:tcW w:w="2277" w:type="dxa"/>
            <w:tcBorders>
              <w:left w:val="single" w:color="000000" w:sz="4" w:space="0"/>
              <w:right w:val="single" w:color="000000" w:sz="4" w:space="0"/>
            </w:tcBorders>
            <w:noWrap w:val="0"/>
            <w:vAlign w:val="center"/>
          </w:tcPr>
          <w:p w14:paraId="0296FF28">
            <w:pPr>
              <w:keepNext w:val="0"/>
              <w:keepLines w:val="0"/>
              <w:widowControl/>
              <w:suppressLineNumbers w:val="0"/>
              <w:snapToGrid w:val="0"/>
              <w:spacing w:line="240" w:lineRule="atLeast"/>
              <w:jc w:val="center"/>
              <w:textAlignment w:val="center"/>
              <w:rPr>
                <w:rStyle w:val="11"/>
                <w:lang w:val="en-US" w:eastAsia="zh-CN" w:bidi="ar"/>
              </w:rPr>
            </w:pPr>
            <w:r>
              <w:rPr>
                <w:rStyle w:val="11"/>
                <w:lang w:val="en-US" w:eastAsia="zh-CN" w:bidi="ar"/>
              </w:rPr>
              <w:t>服务对象满意度指标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14:paraId="6508AC9A">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r>
              <w:rPr>
                <w:rFonts w:hint="eastAsia" w:cs="Times New Roman"/>
                <w:i w:val="0"/>
                <w:color w:val="000000"/>
                <w:sz w:val="22"/>
                <w:szCs w:val="22"/>
                <w:u w:val="none"/>
                <w:lang w:eastAsia="zh-CN"/>
              </w:rPr>
              <w:t>项目实施区域群众满意度</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14:paraId="29FDC32C">
            <w:pPr>
              <w:keepNext w:val="0"/>
              <w:keepLines w:val="0"/>
              <w:widowControl/>
              <w:suppressLineNumbers w:val="0"/>
              <w:snapToGrid w:val="0"/>
              <w:spacing w:line="240" w:lineRule="atLeast"/>
              <w:jc w:val="center"/>
              <w:textAlignment w:val="center"/>
              <w:rPr>
                <w:rFonts w:hint="default" w:ascii="Times New Roman" w:hAnsi="Times New Roman" w:cs="Times New Roman"/>
                <w:i w:val="0"/>
                <w:color w:val="000000"/>
                <w:sz w:val="22"/>
                <w:szCs w:val="22"/>
                <w:u w:val="none"/>
                <w:lang w:val="en-US" w:eastAsia="zh-CN"/>
              </w:rPr>
            </w:pPr>
            <w:r>
              <w:rPr>
                <w:rFonts w:hint="eastAsia" w:cs="Times New Roman"/>
                <w:i w:val="0"/>
                <w:color w:val="000000"/>
                <w:sz w:val="22"/>
                <w:szCs w:val="22"/>
                <w:u w:val="none"/>
                <w:lang w:val="en-US" w:eastAsia="zh-CN"/>
              </w:rPr>
              <w:t>90%</w:t>
            </w:r>
          </w:p>
        </w:tc>
      </w:tr>
    </w:tbl>
    <w:p w14:paraId="55CE81A3">
      <w:pPr>
        <w:snapToGrid w:val="0"/>
        <w:spacing w:line="240" w:lineRule="atLeast"/>
      </w:pPr>
    </w:p>
    <w:p w14:paraId="388F3B49">
      <w:pPr>
        <w:rPr>
          <w:rFonts w:hint="eastAsia"/>
          <w:lang w:val="en" w:eastAsia="zh-CN"/>
        </w:rPr>
      </w:pPr>
    </w:p>
    <w:p w14:paraId="13EB2065">
      <w:pPr>
        <w:rPr>
          <w:rFonts w:hint="eastAsia"/>
          <w:lang w:val="en-US" w:eastAsia="zh-CN"/>
        </w:rPr>
      </w:pPr>
      <w:r>
        <w:rPr>
          <w:rFonts w:hint="eastAsia"/>
          <w:lang w:val="en" w:eastAsia="zh-CN"/>
        </w:rPr>
        <w:t>备注：</w:t>
      </w:r>
      <w:r>
        <w:rPr>
          <w:rFonts w:hint="eastAsia"/>
          <w:lang w:val="en-US" w:eastAsia="zh-CN"/>
        </w:rPr>
        <w:t>1.完成生态修复总面积：项目实施后得到生态修复的区域矢量图斑面积之和。</w:t>
      </w:r>
    </w:p>
    <w:p w14:paraId="6B88E3AD">
      <w:pPr>
        <w:pStyle w:val="2"/>
        <w:adjustRightInd w:val="0"/>
        <w:ind w:left="630" w:leftChars="300" w:firstLine="0" w:firstLineChars="0"/>
        <w:rPr>
          <w:rFonts w:hint="eastAsia" w:eastAsia="宋体"/>
          <w:lang w:val="en-US" w:eastAsia="zh-CN"/>
        </w:rPr>
      </w:pPr>
      <w:r>
        <w:rPr>
          <w:rFonts w:hint="eastAsia"/>
          <w:lang w:val="en-US" w:eastAsia="zh-CN"/>
        </w:rPr>
        <w:t>2</w:t>
      </w:r>
      <w:r>
        <w:rPr>
          <w:rFonts w:hint="eastAsia" w:eastAsia="宋体"/>
          <w:lang w:val="en-US" w:eastAsia="zh-CN"/>
        </w:rPr>
        <w:t>.滨海湿地整治修复面积：通过退养还滩、营造和修复红树林、盐沼、海草床、牡蛎礁、海藻场、珊瑚礁、治理外来入侵物种等，开展滨海湿地修复区域的矢量图斑面积之和，不包括海岸线以上陆侧区域。</w:t>
      </w:r>
    </w:p>
    <w:p w14:paraId="595E5AA8">
      <w:pPr>
        <w:pStyle w:val="2"/>
        <w:ind w:left="945" w:leftChars="300" w:hanging="315" w:hangingChars="150"/>
        <w:rPr>
          <w:rFonts w:hint="eastAsia"/>
          <w:lang w:val="en-US" w:eastAsia="zh-CN"/>
        </w:rPr>
      </w:pPr>
      <w:r>
        <w:rPr>
          <w:rFonts w:hint="eastAsia"/>
          <w:lang w:val="en-US" w:eastAsia="zh-CN"/>
        </w:rPr>
        <w:t>3.岸线整治修复长度：通过整治、修复、清理、生态化建设等措施修复的岸线总长度。</w:t>
      </w:r>
    </w:p>
    <w:p w14:paraId="27592E9C">
      <w:pPr>
        <w:pStyle w:val="2"/>
        <w:adjustRightInd w:val="0"/>
        <w:ind w:left="630" w:leftChars="300" w:firstLine="0" w:firstLineChars="0"/>
        <w:rPr>
          <w:rFonts w:hint="eastAsia" w:eastAsia="宋体"/>
          <w:lang w:val="en-US" w:eastAsia="zh-CN"/>
        </w:rPr>
      </w:pPr>
      <w:r>
        <w:rPr>
          <w:rFonts w:hint="eastAsia" w:eastAsia="宋体"/>
          <w:lang w:val="en-US" w:eastAsia="zh-CN"/>
        </w:rPr>
        <w:t>4.</w:t>
      </w:r>
      <w:r>
        <w:rPr>
          <w:rFonts w:hint="eastAsia"/>
          <w:lang w:val="en-US" w:eastAsia="zh-CN"/>
        </w:rPr>
        <w:t>整治</w:t>
      </w:r>
      <w:r>
        <w:rPr>
          <w:rFonts w:hint="eastAsia" w:eastAsia="宋体"/>
          <w:lang w:val="en-US" w:eastAsia="zh-CN"/>
        </w:rPr>
        <w:t>修复海岛数量：</w:t>
      </w:r>
      <w:r>
        <w:rPr>
          <w:rFonts w:hint="eastAsia"/>
          <w:lang w:val="en-US" w:eastAsia="zh-CN"/>
        </w:rPr>
        <w:t>整治</w:t>
      </w:r>
      <w:r>
        <w:rPr>
          <w:rFonts w:hint="eastAsia" w:eastAsia="宋体"/>
          <w:lang w:val="en-US" w:eastAsia="zh-CN"/>
        </w:rPr>
        <w:t>修复所涉及的海岛数量。</w:t>
      </w:r>
    </w:p>
    <w:p w14:paraId="3238AA3E">
      <w:pPr>
        <w:pStyle w:val="2"/>
        <w:adjustRightInd w:val="0"/>
        <w:ind w:left="630" w:leftChars="300" w:firstLine="0" w:firstLineChars="0"/>
        <w:rPr>
          <w:rFonts w:hint="default" w:eastAsia="宋体"/>
          <w:lang w:val="en-US" w:eastAsia="zh-CN"/>
        </w:rPr>
      </w:pPr>
      <w:r>
        <w:rPr>
          <w:rFonts w:hint="eastAsia" w:eastAsia="宋体"/>
          <w:lang w:val="en-US" w:eastAsia="zh-CN"/>
        </w:rPr>
        <w:t>5.修复后符合自然岸线认定标准的岸线长度：按照《全国海岸线修测技术规程》，人工岸线修复后符合自然岸线认定标准的岸线长度。</w:t>
      </w:r>
    </w:p>
    <w:p w14:paraId="4490E87A">
      <w:pPr>
        <w:pStyle w:val="2"/>
        <w:rPr>
          <w:rFonts w:hint="eastAsia" w:eastAsia="宋体"/>
          <w:lang w:val="en-US" w:eastAsia="zh-CN"/>
        </w:rPr>
      </w:pPr>
    </w:p>
    <w:sectPr>
      <w:footerReference r:id="rId5" w:type="default"/>
      <w:pgSz w:w="11906" w:h="16838"/>
      <w:pgMar w:top="1440" w:right="1533"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_GBK">
    <w:altName w:val="Arial Unicode MS"/>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DF25">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14:paraId="35DFF3D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6F4F1">
    <w:pPr>
      <w:pStyle w:val="4"/>
      <w:framePr w:wrap="around" w:vAnchor="text" w:hAnchor="margin" w:xAlign="center" w:y="1"/>
      <w:rPr>
        <w:rStyle w:val="8"/>
      </w:rPr>
    </w:pPr>
    <w:r>
      <w:fldChar w:fldCharType="begin"/>
    </w:r>
    <w:r>
      <w:rPr>
        <w:rStyle w:val="8"/>
      </w:rPr>
      <w:instrText xml:space="preserve">PAGE  </w:instrText>
    </w:r>
    <w:r>
      <w:fldChar w:fldCharType="end"/>
    </w:r>
  </w:p>
  <w:p w14:paraId="0BD50AB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B8FA2">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14:paraId="19A47C0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MjAyNTkwOWVhMjBkOTZmZDRmYmY0YjUyYjFiZjYifQ=="/>
  </w:docVars>
  <w:rsids>
    <w:rsidRoot w:val="75CE8CA4"/>
    <w:rsid w:val="0C4D19CF"/>
    <w:rsid w:val="16645542"/>
    <w:rsid w:val="188324CD"/>
    <w:rsid w:val="199BC65A"/>
    <w:rsid w:val="1D4F45F7"/>
    <w:rsid w:val="1D5B55CF"/>
    <w:rsid w:val="1F761BC6"/>
    <w:rsid w:val="1F7F8B48"/>
    <w:rsid w:val="1FF7E878"/>
    <w:rsid w:val="2C3F5624"/>
    <w:rsid w:val="3AD1A18C"/>
    <w:rsid w:val="3FDFE1C0"/>
    <w:rsid w:val="3FFEF728"/>
    <w:rsid w:val="46AFB973"/>
    <w:rsid w:val="47F7E5A6"/>
    <w:rsid w:val="4BF34312"/>
    <w:rsid w:val="4DB78BB7"/>
    <w:rsid w:val="53464B13"/>
    <w:rsid w:val="53B30D59"/>
    <w:rsid w:val="556767E1"/>
    <w:rsid w:val="556F1596"/>
    <w:rsid w:val="55BFA65F"/>
    <w:rsid w:val="56F36485"/>
    <w:rsid w:val="597F2024"/>
    <w:rsid w:val="5BA5BB22"/>
    <w:rsid w:val="5C4D68AE"/>
    <w:rsid w:val="5DBFFA7B"/>
    <w:rsid w:val="5DD94EC7"/>
    <w:rsid w:val="5DFBF975"/>
    <w:rsid w:val="5E7F9D46"/>
    <w:rsid w:val="5EBFAA8A"/>
    <w:rsid w:val="5EDE540E"/>
    <w:rsid w:val="5EEF2F17"/>
    <w:rsid w:val="5F0D6B84"/>
    <w:rsid w:val="5F9F979C"/>
    <w:rsid w:val="5FBDE99C"/>
    <w:rsid w:val="63D69E59"/>
    <w:rsid w:val="665E95D3"/>
    <w:rsid w:val="69D23E98"/>
    <w:rsid w:val="6ABFC33B"/>
    <w:rsid w:val="6BFD1EF5"/>
    <w:rsid w:val="6BFE7C34"/>
    <w:rsid w:val="6D1E5A9C"/>
    <w:rsid w:val="6D5F324F"/>
    <w:rsid w:val="6F5D30DA"/>
    <w:rsid w:val="6F7FB9DC"/>
    <w:rsid w:val="6FDD37BB"/>
    <w:rsid w:val="6FDFB4F4"/>
    <w:rsid w:val="6FF777AA"/>
    <w:rsid w:val="727F40BB"/>
    <w:rsid w:val="737740B2"/>
    <w:rsid w:val="74FA9402"/>
    <w:rsid w:val="75CE8CA4"/>
    <w:rsid w:val="77AA7672"/>
    <w:rsid w:val="77CF5357"/>
    <w:rsid w:val="77EF8F53"/>
    <w:rsid w:val="793D4062"/>
    <w:rsid w:val="79DE6E6F"/>
    <w:rsid w:val="7B3F7C6D"/>
    <w:rsid w:val="7BB9C496"/>
    <w:rsid w:val="7BEB40FA"/>
    <w:rsid w:val="7C5FB21F"/>
    <w:rsid w:val="7D5FD022"/>
    <w:rsid w:val="7D76A2F9"/>
    <w:rsid w:val="7D785388"/>
    <w:rsid w:val="7EDB12D0"/>
    <w:rsid w:val="7F7DF1DE"/>
    <w:rsid w:val="7FA6A2F5"/>
    <w:rsid w:val="7FD5AFBC"/>
    <w:rsid w:val="7FEFCA4F"/>
    <w:rsid w:val="7FF73251"/>
    <w:rsid w:val="7FFEE1C3"/>
    <w:rsid w:val="7FFF9B84"/>
    <w:rsid w:val="7FFFBBCC"/>
    <w:rsid w:val="85FEF28E"/>
    <w:rsid w:val="97DBC47D"/>
    <w:rsid w:val="9A7F71B6"/>
    <w:rsid w:val="A7E7CC07"/>
    <w:rsid w:val="ABFB208E"/>
    <w:rsid w:val="B78F9E69"/>
    <w:rsid w:val="B7FB93A3"/>
    <w:rsid w:val="B7FFB6B8"/>
    <w:rsid w:val="B9FFE959"/>
    <w:rsid w:val="BAEB87A6"/>
    <w:rsid w:val="BCEA2A12"/>
    <w:rsid w:val="BD7C73B3"/>
    <w:rsid w:val="BDEF158C"/>
    <w:rsid w:val="BDFE5967"/>
    <w:rsid w:val="BDFFA8A6"/>
    <w:rsid w:val="BE75B5B1"/>
    <w:rsid w:val="BF6F9EEB"/>
    <w:rsid w:val="DC3F42F5"/>
    <w:rsid w:val="DCEF76B0"/>
    <w:rsid w:val="DF5F9717"/>
    <w:rsid w:val="DFAE27DF"/>
    <w:rsid w:val="E53F0C74"/>
    <w:rsid w:val="E79FDB86"/>
    <w:rsid w:val="E7FFB2C2"/>
    <w:rsid w:val="EBF5FD4E"/>
    <w:rsid w:val="EDB6D9DC"/>
    <w:rsid w:val="EDBD18F2"/>
    <w:rsid w:val="EDFB2CDC"/>
    <w:rsid w:val="EEFEFD62"/>
    <w:rsid w:val="EF7F9BC5"/>
    <w:rsid w:val="EFF6A06F"/>
    <w:rsid w:val="EFFA8592"/>
    <w:rsid w:val="EFFE291A"/>
    <w:rsid w:val="F0F752CD"/>
    <w:rsid w:val="F2DB2AC9"/>
    <w:rsid w:val="F39D3B74"/>
    <w:rsid w:val="F3FBC0AB"/>
    <w:rsid w:val="F4B98F35"/>
    <w:rsid w:val="F5FDD85C"/>
    <w:rsid w:val="F6FE9D79"/>
    <w:rsid w:val="F7F9FDCF"/>
    <w:rsid w:val="F9DF6144"/>
    <w:rsid w:val="FA6FE32E"/>
    <w:rsid w:val="FDABCF0B"/>
    <w:rsid w:val="FDBEFFFB"/>
    <w:rsid w:val="FDEFC06C"/>
    <w:rsid w:val="FDFB1768"/>
    <w:rsid w:val="FDFDAE3F"/>
    <w:rsid w:val="FEFC1A4E"/>
    <w:rsid w:val="FF5316CB"/>
    <w:rsid w:val="FF55CFF7"/>
    <w:rsid w:val="FF9F2A08"/>
    <w:rsid w:val="FFB9D097"/>
    <w:rsid w:val="FFBF9B0D"/>
    <w:rsid w:val="FFCF5981"/>
    <w:rsid w:val="FFECBBA4"/>
    <w:rsid w:val="FFED243B"/>
    <w:rsid w:val="FFF11B16"/>
    <w:rsid w:val="FFFD6E2D"/>
    <w:rsid w:val="FFFDF949"/>
    <w:rsid w:val="FFFF7D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qFormat/>
    <w:uiPriority w:val="0"/>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rPr>
      <w:sz w:val="24"/>
    </w:rPr>
  </w:style>
  <w:style w:type="character" w:styleId="8">
    <w:name w:val="page number"/>
    <w:basedOn w:val="7"/>
    <w:qFormat/>
    <w:uiPriority w:val="0"/>
  </w:style>
  <w:style w:type="paragraph" w:customStyle="1" w:styleId="9">
    <w:name w:val="无间隔"/>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10">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font21"/>
    <w:basedOn w:val="7"/>
    <w:qFormat/>
    <w:uiPriority w:val="0"/>
    <w:rPr>
      <w:rFonts w:hint="eastAsia" w:ascii="宋体" w:hAnsi="宋体" w:eastAsia="宋体" w:cs="宋体"/>
      <w:color w:val="000000"/>
      <w:sz w:val="22"/>
      <w:szCs w:val="22"/>
      <w:u w:val="none"/>
    </w:rPr>
  </w:style>
  <w:style w:type="character" w:customStyle="1" w:styleId="12">
    <w:name w:val="font51"/>
    <w:basedOn w:val="7"/>
    <w:qFormat/>
    <w:uiPriority w:val="0"/>
    <w:rPr>
      <w:rFonts w:hint="default" w:ascii="Times New Roman" w:hAnsi="Times New Roman" w:cs="Times New Roman"/>
      <w:color w:val="000000"/>
      <w:sz w:val="22"/>
      <w:szCs w:val="22"/>
      <w:u w:val="none"/>
    </w:rPr>
  </w:style>
  <w:style w:type="character" w:customStyle="1" w:styleId="13">
    <w:name w:val="font3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2955</Words>
  <Characters>2998</Characters>
  <Lines>0</Lines>
  <Paragraphs>0</Paragraphs>
  <TotalTime>16</TotalTime>
  <ScaleCrop>false</ScaleCrop>
  <LinksUpToDate>false</LinksUpToDate>
  <CharactersWithSpaces>3015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2023-07-16T08:23:00Z</dcterms:created>
  <dc:creator>zhanjw</dc:creator>
  <cp:lastModifiedBy>我本无心何来用心</cp:lastModifiedBy>
  <cp:lastPrinted>2025-12-26T00:07:20Z</cp:lastPrinted>
  <dcterms:modified xsi:type="dcterms:W3CDTF">2026-01-09T01:18:12Z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74D5101FB9584D838F16945845457536_13</vt:lpwstr>
  </property>
  <property fmtid="{D5CDD505-2E9C-101B-9397-08002B2CF9AE}" pid="4" name="KSOTemplateDocerSaveRecord">
    <vt:lpwstr>eyJoZGlkIjoiYzZhZTUwYWJmOTRmNzA2NTJjNjA3ZmRmZWJkNGJmMDkiLCJ1c2VySWQiOiI2NTM4NjU1NzYifQ==</vt:lpwstr>
  </property>
</Properties>
</file>