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山西省发展改革委富民产业基础设施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投资补助管理办法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（征求意见稿）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zh-TW" w:eastAsia="zh-TW"/>
        </w:rPr>
        <w:t>第一条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为贯彻落实省委、省政府决</w:t>
      </w:r>
      <w:r>
        <w:rPr>
          <w:rFonts w:hint="eastAsia" w:ascii="Times New Roman" w:hAnsi="Times New Roman" w:eastAsia="仿宋" w:cs="Times New Roman"/>
          <w:sz w:val="32"/>
          <w:szCs w:val="32"/>
          <w:lang w:val="zh-TW" w:eastAsia="zh-CN"/>
        </w:rPr>
        <w:t>策部署，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大力发展乡村富民产业，提高农业综合效益，拓宽农民增收渠道，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一体推动兴业、强县、富民，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进一步发挥省级政府投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TW"/>
        </w:rPr>
        <w:t>资对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富民产业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" w:cs="Times New Roman"/>
          <w:sz w:val="32"/>
          <w:szCs w:val="32"/>
          <w:lang w:val="zh-TW" w:eastAsia="zh-TW"/>
        </w:rPr>
        <w:t>的引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导作用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提高投资管理制度化、规范化、科学化水平，根据《政府投资条例》《山西省政府投资管理办法》《山西省发展和改革委员会政府投资资金管理暂行办法》等有关规定，制定本办法。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对符合本办法规定的项目，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由省发展改革委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按照投资补助的形式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直接安排到具体项目。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本专项支持计划新开工或续建项目，不支持已完工项目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本专项资金不得安排其他省级政府投资专项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或已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列入其他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省级财政资金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支持范围的建设内容。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第二章 支持范围和补助标准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本专项支持方向：依托当地资源，聚焦种养循环、延伸农业产业链、实现乡村多元价值，以点带面促进县域富民产业发展。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第六条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本专项支持的建设内容：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（一）特优农业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生产基地配套基础设施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：支持中药材、杂粮、干果、畜牧等特色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农业种植养殖基地的生产道路、灌溉与排水设施、电力工程、农业生产集中区污水处理等基础设施建设。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（二）农产品加工流通配套基础设施：支持农产品加工流通区域内部的水、电、路等公共基础设施和公用性农产品烘干、预冷、储藏保鲜、分拣包装、检验检测等产后服务基础设施建设。</w:t>
      </w:r>
    </w:p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（三）乡村农文旅融合配套基础设施：支持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农文旅融合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区域内的给排水管网、污水处理设施、道路安防设施、公共停车场、公共厕所等旅游配套基础设施建设。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本专项投资不得用于各类楼堂馆所和“门墙亭廊栏”等景观类设施建设，各地应根据当地政府投资能力，统筹使用地方财政资金、地方政府专项债券等，加大投入力度，多渠道保障项目建设资金需求。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本专项支持的单个项目总投资不低于2000万元，单个项目支持比例原则上不超过项目总投资的50%，安排到单个项目的省级政府投资不超过1000万元。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项目申报审核和计划下达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本专项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以县为单位组织开展项目建设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项目单位主要应为政府有关机构或其指定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委托的机关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申请本专项的项目应当列入省级储备项目清单，并依法完成审批程序，取得土地、规划等前期手续，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落实建设资金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项目单位按程序向市发展改革委报送资金申请报告，并同时明确每个项目的日常监管直接责任单位及监管责任人。资金申请报告应当包括以下内容：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（一）项目单位基本情况，包括项目单位社会信用情况等；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（二）项目基本情况，包括通过在线平台完成审批情况及生成的项目代码、建设内容、总投资及资金来源、建设条件落实情况等；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（三）申请投资补助的主要理由和政策依据；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（四）需落实地方建设资金的，由当地政府或财政部门出具地方建设资金到位承诺函；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（五）项目绩效目标申报表；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（六）综合信用承诺书，包括承诺对资金申请报告真实性负责、按照年度投资计划推进项目建设、及时准确上报项目建设进度数据和信息等。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 市发展改革委对资金申请报告的下列事项进行审核，并对审核结果和申报材料的真实性、合规性负责。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（一）符合补助资金支持范围、类型和相关要求；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（二）项目主要建设条件基本落实，投资计划下达当年项目能够开工建设；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（三）项目已通过在线平台完成审批；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（四）对拟新建项目，要重点审核前期工作条件是否成熟，确保如期开工建设；对已开工项目，要重点审核各项建设手续是否完备；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（五）未申请或使用其他省级专项资金；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（六）项目单位未被列入严重失信主体名单；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（七）项目建设符合地方财政承受能力和政府投资能力。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 市发展改革委对资金申请报告提出审核意见，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选择符合条件的项目，与年度投资计划申请一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报送省发展改革委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并在文件中注明：“经认真审核，项目除申请省级投资之外的其他投资已落实，所报投资计划符合地方财政承受能力和政府投资能力，不会造成地方政府隐性债务，项目单位未被列入失信联合惩戒对象名单”。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 省发展改革委受理资金申请报告后，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山西省发展和改革委员会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投资咨询评估管理办法》委托有关咨询机构对项目进行评估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重点对下列事项进行审查：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（一）符合资金使用方向；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（二）符合投资补助的安排要求；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（三）提交的相关文件真实、齐备、有效；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（四）项目主要建设条件基本落实。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对同意安排投资支持的项目，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省发展改革委汇总形成年度专项投资计划，按照委内程序审议通过后，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批复其资金申请报告，并同步下达投资计划。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省级政府投资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计划下达后，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发展改革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应于收到投资计划文件后5个工作日内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转发下达。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第四章 项目管理和监督检查</w:t>
      </w:r>
    </w:p>
    <w:p>
      <w:pPr>
        <w:pStyle w:val="7"/>
        <w:spacing w:line="600" w:lineRule="exact"/>
        <w:ind w:firstLine="6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项目申报县要配合有关部门做好资金拨付工作，确保省级政府投资和其他资金足额按期拨付，严禁转移、侵占或者挪用。</w:t>
      </w:r>
    </w:p>
    <w:p>
      <w:pPr>
        <w:pStyle w:val="7"/>
        <w:spacing w:line="600" w:lineRule="exact"/>
        <w:ind w:firstLine="6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省发展改革委适时组织对投资计划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转发下达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、投资计划执行和资金拨付使用等情况进行监督检查，督促相关单位对发现问题及时整改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省级政府投资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项目监督检查、审计发现问题较多的市，视情况取消下一年度本专项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省级政府投资支持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市发展改革委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加强对项目单位的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监管，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通过自查、现场督察、在线监管等多种方式，加大对前期工作程序、转发计划、项目落地实施、地方建设投资落实、计划执行进度等关键环节，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及绩效目标执行情况的监督检查力度。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第二十条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项目单位需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严格执行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国家有关政策要求，落实项目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法人责任制、招投标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度、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工程监理制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度、竣工验收制度和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合同管理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制度，不得擅自改变主要建设内容、降低建设标准。</w:t>
      </w:r>
    </w:p>
    <w:p>
      <w:pPr>
        <w:pStyle w:val="7"/>
        <w:spacing w:line="600" w:lineRule="exact"/>
        <w:ind w:firstLine="60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第二十一条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专项已下达的年度投资计划原则上不得调整。如因建设主体、建设内容、建设规模、总投资等发生重大变更或因某些原因导致项目无法实施、确需调整投资计划的，应及时向省发展改革委报送项目调整请示文件，由省发展改革委按程序调整。</w:t>
      </w:r>
    </w:p>
    <w:p>
      <w:pPr>
        <w:pStyle w:val="7"/>
        <w:spacing w:line="600" w:lineRule="exact"/>
        <w:ind w:firstLine="6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二十二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本专项实行定期调度制度，市发展改革委于每月10日前将省级政府投资项目的开工情况、投资完成与支付情况、工程形象进度等数据报送省发展改革委，并同步报送项目进度和资金支付使用等资料凭证扫描件。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项目单位有以下情形之一的，省发展改革委责令其限期整改，拒不整改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或者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仍不符合要求的，将采取调整或取消投资计划、收回资金等方式进行处理，并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可以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根据情节轻重提请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或者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移交有关机关依法追究相关责任人的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行政或者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（一）提供虚假情况，骗取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（二）转移、侵占或者挪用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（三）擅自改变主要建设内容和建设标准的；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项目建设规模、标准和内容发生较大变化而不及时报告的；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（五）无正当理由未及时建设实施的；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（六）拒不接受依法进行的监督检查的；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（七）存在其他违法违规行为的。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第五章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本办法由省发展改革委负责解释。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第二十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本办法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发布之日起施行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，有效期五年，并将根据省委、省政府有关工作要求及时进行修订。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  <w:bookmarkStart w:id="0" w:name="fax"/>
      <w:bookmarkEnd w:id="0"/>
    </w:p>
    <w:p/>
    <w:sectPr>
      <w:footerReference r:id="rId3" w:type="default"/>
      <w:footerReference r:id="rId4" w:type="even"/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BEF8"/>
    <w:rsid w:val="25FE2520"/>
    <w:rsid w:val="3A667E28"/>
    <w:rsid w:val="77FDAACD"/>
    <w:rsid w:val="94D5E29B"/>
    <w:rsid w:val="BBFF557C"/>
    <w:rsid w:val="CFAAAD02"/>
    <w:rsid w:val="D8EF26C9"/>
    <w:rsid w:val="FFFAB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2025-09-24T12:04:00Z</dcterms:created>
  <dc:creator>kylin</dc:creator>
  <cp:lastModifiedBy>Administrator</cp:lastModifiedBy>
  <dcterms:modified xsi:type="dcterms:W3CDTF">2025-09-25T06:44:55Z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