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D76AA">
      <w:pPr>
        <w:jc w:val="center"/>
        <w:outlineLvl w:val="9"/>
        <w:rPr>
          <w:rFonts w:hint="default" w:ascii="Times New Roman" w:hAnsi="Times New Roman" w:cs="Times New Roman"/>
          <w:color w:val="auto"/>
          <w:sz w:val="44"/>
          <w:szCs w:val="44"/>
          <w:highlight w:val="none"/>
          <w:lang w:val="en-US" w:eastAsia="zh-CN"/>
        </w:rPr>
      </w:pPr>
    </w:p>
    <w:p w14:paraId="3775EE55">
      <w:pPr>
        <w:jc w:val="center"/>
        <w:outlineLvl w:val="9"/>
        <w:rPr>
          <w:rFonts w:hint="default" w:ascii="Times New Roman" w:hAnsi="Times New Roman" w:cs="Times New Roman"/>
          <w:color w:val="auto"/>
          <w:sz w:val="44"/>
          <w:szCs w:val="44"/>
          <w:highlight w:val="none"/>
          <w:lang w:val="en-US" w:eastAsia="zh-CN"/>
        </w:rPr>
      </w:pPr>
    </w:p>
    <w:p w14:paraId="339FADE5">
      <w:pPr>
        <w:jc w:val="center"/>
        <w:outlineLvl w:val="9"/>
        <w:rPr>
          <w:rFonts w:hint="default" w:ascii="Times New Roman" w:hAnsi="Times New Roman" w:cs="Times New Roman"/>
          <w:color w:val="auto"/>
          <w:sz w:val="44"/>
          <w:szCs w:val="44"/>
          <w:highlight w:val="none"/>
          <w:lang w:val="en-US" w:eastAsia="zh-CN"/>
        </w:rPr>
      </w:pPr>
      <w:r>
        <w:rPr>
          <w:rFonts w:hint="default" w:ascii="Times New Roman" w:hAnsi="Times New Roman" w:cs="Times New Roman"/>
          <w:color w:val="auto"/>
          <w:sz w:val="44"/>
          <w:szCs w:val="44"/>
          <w:highlight w:val="none"/>
          <w:lang w:val="en-US" w:eastAsia="zh-CN"/>
        </w:rPr>
        <w:t>遂宁市好房子设计导则</w:t>
      </w:r>
    </w:p>
    <w:p w14:paraId="14F48B3E">
      <w:pPr>
        <w:jc w:val="center"/>
        <w:outlineLvl w:val="9"/>
        <w:rPr>
          <w:rFonts w:hint="default" w:ascii="Times New Roman" w:hAnsi="Times New Roman" w:cs="Times New Roman"/>
          <w:color w:val="auto"/>
          <w:sz w:val="44"/>
          <w:szCs w:val="44"/>
          <w:highlight w:val="none"/>
          <w:lang w:val="en-US" w:eastAsia="zh-CN"/>
        </w:rPr>
      </w:pPr>
      <w:r>
        <w:rPr>
          <w:rFonts w:hint="default" w:ascii="Times New Roman" w:hAnsi="Times New Roman" w:cs="Times New Roman"/>
          <w:color w:val="auto"/>
          <w:sz w:val="44"/>
          <w:szCs w:val="44"/>
          <w:highlight w:val="none"/>
          <w:lang w:val="en-US" w:eastAsia="zh-CN"/>
        </w:rPr>
        <w:t>（试行）</w:t>
      </w:r>
    </w:p>
    <w:p w14:paraId="6C9460D9">
      <w:pPr>
        <w:jc w:val="center"/>
        <w:outlineLvl w:val="9"/>
        <w:rPr>
          <w:rFonts w:hint="default" w:ascii="Times New Roman" w:hAnsi="Times New Roman" w:cs="Times New Roman"/>
          <w:color w:val="auto"/>
          <w:sz w:val="44"/>
          <w:szCs w:val="44"/>
          <w:highlight w:val="none"/>
          <w:lang w:val="en-US" w:eastAsia="zh-CN"/>
        </w:rPr>
      </w:pPr>
    </w:p>
    <w:p w14:paraId="7A68545A">
      <w:pPr>
        <w:jc w:val="center"/>
        <w:outlineLvl w:val="9"/>
        <w:rPr>
          <w:rFonts w:hint="default" w:ascii="Times New Roman" w:hAnsi="Times New Roman" w:cs="Times New Roman"/>
          <w:color w:val="auto"/>
          <w:sz w:val="44"/>
          <w:szCs w:val="44"/>
          <w:highlight w:val="none"/>
          <w:lang w:val="en-US" w:eastAsia="zh-CN"/>
        </w:rPr>
      </w:pPr>
    </w:p>
    <w:p w14:paraId="0A0EF066">
      <w:pPr>
        <w:jc w:val="center"/>
        <w:outlineLvl w:val="9"/>
        <w:rPr>
          <w:rFonts w:hint="default" w:ascii="Times New Roman" w:hAnsi="Times New Roman" w:cs="Times New Roman"/>
          <w:color w:val="auto"/>
          <w:sz w:val="44"/>
          <w:szCs w:val="44"/>
          <w:highlight w:val="none"/>
          <w:lang w:val="en-US" w:eastAsia="zh-CN"/>
        </w:rPr>
      </w:pPr>
    </w:p>
    <w:p w14:paraId="2513800C">
      <w:pPr>
        <w:jc w:val="center"/>
        <w:outlineLvl w:val="9"/>
        <w:rPr>
          <w:rFonts w:hint="default" w:ascii="Times New Roman" w:hAnsi="Times New Roman" w:cs="Times New Roman"/>
          <w:color w:val="auto"/>
          <w:sz w:val="44"/>
          <w:szCs w:val="44"/>
          <w:highlight w:val="none"/>
          <w:lang w:val="en-US" w:eastAsia="zh-CN"/>
        </w:rPr>
      </w:pPr>
    </w:p>
    <w:p w14:paraId="50442070">
      <w:pPr>
        <w:jc w:val="center"/>
        <w:outlineLvl w:val="9"/>
        <w:rPr>
          <w:rFonts w:hint="default" w:ascii="Times New Roman" w:hAnsi="Times New Roman" w:cs="Times New Roman"/>
          <w:color w:val="auto"/>
          <w:sz w:val="44"/>
          <w:szCs w:val="44"/>
          <w:highlight w:val="none"/>
          <w:lang w:val="en-US" w:eastAsia="zh-CN"/>
        </w:rPr>
      </w:pPr>
    </w:p>
    <w:p w14:paraId="337DBA21">
      <w:pPr>
        <w:jc w:val="center"/>
        <w:outlineLvl w:val="9"/>
        <w:rPr>
          <w:rFonts w:hint="default" w:ascii="Times New Roman" w:hAnsi="Times New Roman" w:cs="Times New Roman"/>
          <w:color w:val="auto"/>
          <w:sz w:val="44"/>
          <w:szCs w:val="44"/>
          <w:highlight w:val="none"/>
          <w:lang w:val="en-US" w:eastAsia="zh-CN"/>
        </w:rPr>
      </w:pPr>
    </w:p>
    <w:p w14:paraId="4A88774F">
      <w:pPr>
        <w:jc w:val="center"/>
        <w:outlineLvl w:val="9"/>
        <w:rPr>
          <w:rFonts w:hint="default" w:ascii="Times New Roman" w:hAnsi="Times New Roman" w:cs="Times New Roman"/>
          <w:color w:val="auto"/>
          <w:sz w:val="44"/>
          <w:szCs w:val="44"/>
          <w:highlight w:val="none"/>
          <w:lang w:val="en-US" w:eastAsia="zh-CN"/>
        </w:rPr>
      </w:pPr>
    </w:p>
    <w:p w14:paraId="0186222A">
      <w:pPr>
        <w:jc w:val="center"/>
        <w:outlineLvl w:val="9"/>
        <w:rPr>
          <w:rFonts w:hint="default" w:ascii="Times New Roman" w:hAnsi="Times New Roman" w:cs="Times New Roman"/>
          <w:color w:val="auto"/>
          <w:sz w:val="44"/>
          <w:szCs w:val="44"/>
          <w:highlight w:val="none"/>
          <w:lang w:val="en-US" w:eastAsia="zh-CN"/>
        </w:rPr>
      </w:pPr>
    </w:p>
    <w:p w14:paraId="7F0856D9">
      <w:pPr>
        <w:jc w:val="center"/>
        <w:outlineLvl w:val="9"/>
        <w:rPr>
          <w:rFonts w:hint="default" w:ascii="Times New Roman" w:hAnsi="Times New Roman" w:cs="Times New Roman"/>
          <w:color w:val="auto"/>
          <w:sz w:val="44"/>
          <w:szCs w:val="44"/>
          <w:highlight w:val="none"/>
          <w:lang w:val="en-US" w:eastAsia="zh-CN"/>
        </w:rPr>
      </w:pPr>
    </w:p>
    <w:p w14:paraId="5C8CF7C3">
      <w:pPr>
        <w:jc w:val="center"/>
        <w:outlineLvl w:val="9"/>
        <w:rPr>
          <w:rFonts w:hint="default" w:ascii="Times New Roman" w:hAnsi="Times New Roman" w:cs="Times New Roman"/>
          <w:color w:val="auto"/>
          <w:sz w:val="44"/>
          <w:szCs w:val="44"/>
          <w:highlight w:val="none"/>
          <w:lang w:val="en-US" w:eastAsia="zh-CN"/>
        </w:rPr>
      </w:pPr>
    </w:p>
    <w:p w14:paraId="7CA54977">
      <w:pPr>
        <w:jc w:val="center"/>
        <w:outlineLvl w:val="9"/>
        <w:rPr>
          <w:rFonts w:hint="default" w:ascii="Times New Roman" w:hAnsi="Times New Roman" w:cs="Times New Roman"/>
          <w:color w:val="auto"/>
          <w:sz w:val="44"/>
          <w:szCs w:val="44"/>
          <w:highlight w:val="none"/>
          <w:lang w:val="en-US" w:eastAsia="zh-CN"/>
        </w:rPr>
      </w:pPr>
    </w:p>
    <w:p w14:paraId="32C84867">
      <w:pPr>
        <w:jc w:val="center"/>
        <w:outlineLvl w:val="9"/>
        <w:rPr>
          <w:rFonts w:hint="default" w:ascii="Times New Roman" w:hAnsi="Times New Roman" w:cs="Times New Roman"/>
          <w:color w:val="auto"/>
          <w:sz w:val="44"/>
          <w:szCs w:val="44"/>
          <w:highlight w:val="none"/>
          <w:lang w:val="en-US" w:eastAsia="zh-CN"/>
        </w:rPr>
      </w:pPr>
    </w:p>
    <w:p w14:paraId="402F068B">
      <w:pPr>
        <w:jc w:val="both"/>
        <w:outlineLvl w:val="9"/>
        <w:rPr>
          <w:rFonts w:hint="default" w:ascii="Times New Roman" w:hAnsi="Times New Roman" w:cs="Times New Roman"/>
          <w:color w:val="auto"/>
          <w:sz w:val="44"/>
          <w:szCs w:val="44"/>
          <w:highlight w:val="none"/>
          <w:lang w:val="en-US" w:eastAsia="zh-CN"/>
        </w:rPr>
      </w:pPr>
    </w:p>
    <w:p w14:paraId="287BEA08">
      <w:pPr>
        <w:jc w:val="both"/>
        <w:outlineLvl w:val="9"/>
        <w:rPr>
          <w:rFonts w:hint="default" w:ascii="Times New Roman" w:hAnsi="Times New Roman" w:cs="Times New Roman"/>
          <w:color w:val="auto"/>
          <w:sz w:val="44"/>
          <w:szCs w:val="44"/>
          <w:highlight w:val="none"/>
          <w:lang w:val="en-US" w:eastAsia="zh-CN"/>
        </w:rPr>
      </w:pPr>
    </w:p>
    <w:p w14:paraId="0BFF33A9">
      <w:pPr>
        <w:jc w:val="center"/>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遂宁市住房和城乡建设局</w:t>
      </w:r>
    </w:p>
    <w:p w14:paraId="544C0912">
      <w:pPr>
        <w:jc w:val="center"/>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遂宁市城乡规划设计研究院有限公司</w:t>
      </w:r>
    </w:p>
    <w:p w14:paraId="5F378939">
      <w:pPr>
        <w:jc w:val="center"/>
        <w:outlineLvl w:val="9"/>
        <w:rPr>
          <w:rFonts w:hint="default" w:ascii="Times New Roman" w:hAnsi="Times New Roman" w:cs="Times New Roman"/>
          <w:color w:val="auto"/>
          <w:sz w:val="32"/>
          <w:szCs w:val="32"/>
          <w:highlight w:val="none"/>
          <w:lang w:val="en-US" w:eastAsia="zh-CN"/>
        </w:rPr>
        <w:sectPr>
          <w:pgSz w:w="11906" w:h="16838"/>
          <w:pgMar w:top="1786" w:right="720" w:bottom="1786" w:left="1213" w:header="851" w:footer="992" w:gutter="0"/>
          <w:cols w:space="0" w:num="1"/>
          <w:rtlGutter w:val="0"/>
          <w:docGrid w:type="lines" w:linePitch="312" w:charSpace="0"/>
        </w:sectPr>
      </w:pPr>
      <w:r>
        <w:rPr>
          <w:rFonts w:hint="default" w:ascii="Times New Roman" w:hAnsi="Times New Roman" w:cs="Times New Roman"/>
          <w:color w:val="auto"/>
          <w:sz w:val="28"/>
          <w:szCs w:val="28"/>
          <w:highlight w:val="none"/>
          <w:lang w:val="en-US" w:eastAsia="zh-CN"/>
        </w:rPr>
        <w:t>2025年7月</w:t>
      </w:r>
    </w:p>
    <w:sdt>
      <w:sdtPr>
        <w:rPr>
          <w:rFonts w:hint="default" w:ascii="Times New Roman" w:hAnsi="Times New Roman" w:eastAsia="宋体" w:cs="Times New Roman"/>
          <w:color w:val="auto"/>
          <w:kern w:val="2"/>
          <w:sz w:val="21"/>
          <w:szCs w:val="24"/>
          <w:highlight w:val="none"/>
          <w:lang w:val="en-US" w:eastAsia="zh-CN" w:bidi="ar-SA"/>
        </w:rPr>
        <w:id w:val="147459104"/>
        <w15:color w:val="DBDBDB"/>
        <w:docPartObj>
          <w:docPartGallery w:val="Table of Contents"/>
          <w:docPartUnique/>
        </w:docPartObj>
      </w:sdtPr>
      <w:sdtEndPr>
        <w:rPr>
          <w:rFonts w:hint="default" w:ascii="Times New Roman" w:hAnsi="Times New Roman" w:cs="Times New Roman" w:eastAsiaTheme="minorEastAsia"/>
          <w:color w:val="auto"/>
          <w:kern w:val="2"/>
          <w:sz w:val="21"/>
          <w:szCs w:val="24"/>
          <w:highlight w:val="none"/>
          <w:lang w:val="en-US" w:eastAsia="zh-CN" w:bidi="ar-SA"/>
        </w:rPr>
      </w:sdtEndPr>
      <w:sdtContent>
        <w:p w14:paraId="717347AF">
          <w:pPr>
            <w:spacing w:before="0" w:beforeLines="0" w:after="0" w:afterLines="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eastAsia="黑体" w:cs="Times New Roman"/>
              <w:b/>
              <w:bCs/>
              <w:color w:val="auto"/>
              <w:sz w:val="30"/>
              <w:szCs w:val="30"/>
              <w:highlight w:val="none"/>
              <w:lang w:val="en-US" w:eastAsia="zh-CN"/>
            </w:rPr>
            <w:t>目录</w:t>
          </w:r>
        </w:p>
        <w:p w14:paraId="3B406636">
          <w:pPr>
            <w:pStyle w:val="7"/>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TOC \o "1-2" \h \u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_Toc3724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30"/>
              <w:lang w:val="en-US" w:eastAsia="zh-CN"/>
            </w:rPr>
            <w:t xml:space="preserve">第一章 </w:t>
          </w:r>
          <w:r>
            <w:rPr>
              <w:rFonts w:hint="default" w:ascii="Times New Roman" w:hAnsi="Times New Roman" w:eastAsia="黑体" w:cs="Times New Roman"/>
              <w:bCs/>
              <w:szCs w:val="30"/>
              <w:highlight w:val="none"/>
              <w:lang w:val="en-US" w:eastAsia="zh-CN"/>
            </w:rPr>
            <w:t>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62AF5EDC">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_Toc5287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1.1. </w:t>
          </w:r>
          <w:r>
            <w:rPr>
              <w:rFonts w:hint="default" w:ascii="Times New Roman" w:hAnsi="Times New Roman" w:eastAsia="黑体" w:cs="Times New Roman"/>
              <w:bCs/>
              <w:szCs w:val="28"/>
              <w:highlight w:val="none"/>
              <w:lang w:val="en-US" w:eastAsia="zh-CN"/>
            </w:rPr>
            <w:t>编制原则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_Toc5287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475D84DF">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_Toc19059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1.2. </w:t>
          </w:r>
          <w:r>
            <w:rPr>
              <w:rFonts w:hint="default" w:ascii="Times New Roman" w:hAnsi="Times New Roman" w:eastAsia="黑体" w:cs="Times New Roman"/>
              <w:bCs/>
              <w:szCs w:val="28"/>
              <w:highlight w:val="none"/>
              <w:lang w:val="en-US" w:eastAsia="zh-CN"/>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_Toc19059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5BD75567">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_Toc4579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1.3. </w:t>
          </w:r>
          <w:r>
            <w:rPr>
              <w:rFonts w:hint="default" w:ascii="Times New Roman" w:hAnsi="Times New Roman" w:eastAsia="黑体" w:cs="Times New Roman"/>
              <w:bCs/>
              <w:szCs w:val="28"/>
              <w:highlight w:val="none"/>
              <w:lang w:val="en-US" w:eastAsia="zh-CN"/>
            </w:rPr>
            <w:t>适用范围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_Toc4579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6E225F3B">
          <w:pPr>
            <w:pStyle w:val="7"/>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_Toc32134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30"/>
              <w:lang w:val="en-US" w:eastAsia="zh-CN"/>
            </w:rPr>
            <w:t xml:space="preserve">第二章 </w:t>
          </w:r>
          <w:r>
            <w:rPr>
              <w:rFonts w:hint="default" w:ascii="Times New Roman" w:hAnsi="Times New Roman" w:eastAsia="黑体" w:cs="Times New Roman"/>
              <w:bCs/>
              <w:szCs w:val="30"/>
              <w:highlight w:val="none"/>
              <w:lang w:val="en-US" w:eastAsia="zh-CN"/>
            </w:rPr>
            <w:t>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_Toc32134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729BCE99">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_Toc16246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2.1. </w:t>
          </w:r>
          <w:r>
            <w:rPr>
              <w:rFonts w:hint="default" w:ascii="Times New Roman" w:hAnsi="Times New Roman" w:eastAsia="黑体" w:cs="Times New Roman"/>
              <w:bCs/>
              <w:szCs w:val="28"/>
              <w:highlight w:val="none"/>
              <w:lang w:val="en-US" w:eastAsia="zh-CN"/>
            </w:rPr>
            <w:t>外部环境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_Toc16246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64B1D4E1">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_Toc19216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2.2. </w:t>
          </w:r>
          <w:r>
            <w:rPr>
              <w:rFonts w:hint="default" w:ascii="Times New Roman" w:hAnsi="Times New Roman" w:eastAsia="黑体" w:cs="Times New Roman"/>
              <w:bCs/>
              <w:szCs w:val="28"/>
              <w:highlight w:val="none"/>
              <w:lang w:val="en-US" w:eastAsia="zh-CN"/>
            </w:rPr>
            <w:t>内部环境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_Toc19216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1E07C848">
          <w:pPr>
            <w:pStyle w:val="7"/>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_Toc21553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30"/>
              <w:lang w:val="en-US" w:eastAsia="zh-CN"/>
            </w:rPr>
            <w:t xml:space="preserve">第三章 </w:t>
          </w:r>
          <w:r>
            <w:rPr>
              <w:rFonts w:hint="default" w:ascii="Times New Roman" w:hAnsi="Times New Roman" w:eastAsia="黑体" w:cs="Times New Roman"/>
              <w:bCs/>
              <w:szCs w:val="30"/>
              <w:highlight w:val="none"/>
              <w:lang w:val="en-US" w:eastAsia="zh-CN"/>
            </w:rPr>
            <w:t>住宅设计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_Toc21553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327133E4">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_Toc5227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3.1. </w:t>
          </w:r>
          <w:r>
            <w:rPr>
              <w:rFonts w:hint="default" w:ascii="Times New Roman" w:hAnsi="Times New Roman" w:eastAsia="黑体" w:cs="Times New Roman"/>
              <w:bCs/>
              <w:szCs w:val="28"/>
              <w:highlight w:val="none"/>
              <w:lang w:val="en-US" w:eastAsia="zh-CN"/>
            </w:rPr>
            <w:t>建筑设计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_Toc5227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6FBF9BD8">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_Toc25240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3.2. </w:t>
          </w:r>
          <w:r>
            <w:rPr>
              <w:rFonts w:hint="default" w:ascii="Times New Roman" w:hAnsi="Times New Roman" w:eastAsia="黑体" w:cs="Times New Roman"/>
              <w:bCs/>
              <w:szCs w:val="28"/>
              <w:highlight w:val="none"/>
              <w:lang w:val="en-US" w:eastAsia="zh-CN"/>
            </w:rPr>
            <w:t>结构设计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_Toc25240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145D7BF5">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_Toc9843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3.3. </w:t>
          </w:r>
          <w:r>
            <w:rPr>
              <w:rFonts w:hint="default" w:ascii="Times New Roman" w:hAnsi="Times New Roman" w:eastAsia="黑体" w:cs="Times New Roman"/>
              <w:bCs/>
              <w:szCs w:val="28"/>
              <w:highlight w:val="none"/>
              <w:lang w:val="en-US" w:eastAsia="zh-CN"/>
            </w:rPr>
            <w:t>给排水设计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_Toc9843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07C3D830">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_Toc32493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3.4. </w:t>
          </w:r>
          <w:r>
            <w:rPr>
              <w:rFonts w:hint="default" w:ascii="Times New Roman" w:hAnsi="Times New Roman" w:eastAsia="黑体" w:cs="Times New Roman"/>
              <w:bCs/>
              <w:szCs w:val="28"/>
              <w:highlight w:val="none"/>
              <w:lang w:val="en-US" w:eastAsia="zh-CN"/>
            </w:rPr>
            <w:t>电气设计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_Toc32493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7CD3D064">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_Toc15312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3.5. </w:t>
          </w:r>
          <w:r>
            <w:rPr>
              <w:rFonts w:hint="default" w:ascii="Times New Roman" w:hAnsi="Times New Roman" w:eastAsia="黑体" w:cs="Times New Roman"/>
              <w:bCs/>
              <w:szCs w:val="28"/>
              <w:highlight w:val="none"/>
              <w:lang w:val="en-US" w:eastAsia="zh-CN"/>
            </w:rPr>
            <w:t>暖通设计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_Toc15312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259CE1A5">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_Toc23266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3.6. </w:t>
          </w:r>
          <w:r>
            <w:rPr>
              <w:rFonts w:hint="default" w:ascii="Times New Roman" w:hAnsi="Times New Roman" w:eastAsia="黑体" w:cs="Times New Roman"/>
              <w:bCs/>
              <w:szCs w:val="28"/>
              <w:highlight w:val="none"/>
              <w:lang w:val="en-US" w:eastAsia="zh-CN"/>
            </w:rPr>
            <w:t>绿色低碳设计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_Toc23266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2B63A00A">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_Toc17009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3.7. </w:t>
          </w:r>
          <w:r>
            <w:rPr>
              <w:rFonts w:hint="default" w:ascii="Times New Roman" w:hAnsi="Times New Roman" w:eastAsia="黑体" w:cs="Times New Roman"/>
              <w:bCs/>
              <w:szCs w:val="28"/>
              <w:highlight w:val="none"/>
              <w:lang w:val="en-US" w:eastAsia="zh-CN"/>
            </w:rPr>
            <w:t>室内装修设计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_Toc17009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5C408D1C">
          <w:pPr>
            <w:pStyle w:val="7"/>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_Toc11169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30"/>
              <w:lang w:val="en-US" w:eastAsia="zh-CN"/>
            </w:rPr>
            <w:t xml:space="preserve">第四章 </w:t>
          </w:r>
          <w:r>
            <w:rPr>
              <w:rFonts w:hint="default" w:ascii="Times New Roman" w:hAnsi="Times New Roman" w:eastAsia="黑体" w:cs="Times New Roman"/>
              <w:bCs/>
              <w:szCs w:val="30"/>
              <w:highlight w:val="none"/>
              <w:lang w:val="en-US" w:eastAsia="zh-CN"/>
            </w:rPr>
            <w:t>附录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_Toc11169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7155EC71">
          <w:pPr>
            <w:pStyle w:val="8"/>
            <w:tabs>
              <w:tab w:val="right" w:leader="dot" w:pos="9973"/>
            </w:tabs>
            <w:rPr>
              <w:rFonts w:hint="default" w:ascii="Times New Roman" w:hAnsi="Times New Roman" w:cs="Times New Roma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highlight w:val="none"/>
              <w:lang w:val="en-US" w:eastAsia="zh-CN"/>
            </w:rPr>
            <w:instrText xml:space="preserve"> HYPERLINK \l _Toc1511 </w:instrText>
          </w:r>
          <w:r>
            <w:rPr>
              <w:rFonts w:hint="default" w:ascii="Times New Roman" w:hAnsi="Times New Roman" w:cs="Times New Roman"/>
              <w:highlight w:val="none"/>
              <w:lang w:val="en-US" w:eastAsia="zh-CN"/>
            </w:rPr>
            <w:fldChar w:fldCharType="separate"/>
          </w:r>
          <w:r>
            <w:rPr>
              <w:rFonts w:hint="default" w:ascii="Times New Roman" w:hAnsi="Times New Roman" w:eastAsia="黑体" w:cs="Times New Roman"/>
              <w:bCs/>
              <w:szCs w:val="28"/>
              <w:lang w:val="en-US" w:eastAsia="zh-CN"/>
            </w:rPr>
            <w:t xml:space="preserve">4.1. </w:t>
          </w:r>
          <w:r>
            <w:rPr>
              <w:rFonts w:hint="default" w:ascii="Times New Roman" w:hAnsi="Times New Roman" w:eastAsia="黑体" w:cs="Times New Roman"/>
              <w:bCs/>
              <w:szCs w:val="28"/>
              <w:highlight w:val="none"/>
              <w:lang w:val="en-US" w:eastAsia="zh-CN"/>
            </w:rPr>
            <w:t>用词说明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_Toc1511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color w:val="auto"/>
              <w:highlight w:val="none"/>
              <w:lang w:val="en-US" w:eastAsia="zh-CN"/>
            </w:rPr>
            <w:fldChar w:fldCharType="end"/>
          </w:r>
        </w:p>
        <w:p w14:paraId="7AB348E2">
          <w:pPr>
            <w:jc w:val="both"/>
            <w:outlineLvl w:val="9"/>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fldChar w:fldCharType="end"/>
          </w:r>
        </w:p>
      </w:sdtContent>
    </w:sdt>
    <w:p w14:paraId="162F1394">
      <w:pP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br w:type="page"/>
      </w:r>
    </w:p>
    <w:p w14:paraId="29613861">
      <w:pPr>
        <w:jc w:val="center"/>
        <w:outlineLvl w:val="9"/>
        <w:rPr>
          <w:rFonts w:hint="default" w:ascii="Times New Roman" w:hAnsi="Times New Roman" w:cs="Times New Roman" w:eastAsiaTheme="minorEastAsia"/>
          <w:color w:val="auto"/>
          <w:kern w:val="2"/>
          <w:sz w:val="21"/>
          <w:szCs w:val="24"/>
          <w:highlight w:val="none"/>
          <w:lang w:val="en-US" w:eastAsia="zh-CN" w:bidi="ar-SA"/>
        </w:rPr>
        <w:sectPr>
          <w:footerReference r:id="rId3" w:type="default"/>
          <w:pgSz w:w="11906" w:h="16838"/>
          <w:pgMar w:top="1786" w:right="720" w:bottom="1786" w:left="1213" w:header="851" w:footer="992" w:gutter="0"/>
          <w:pgNumType w:fmt="decimal" w:start="1"/>
          <w:cols w:space="0" w:num="1"/>
          <w:rtlGutter w:val="0"/>
          <w:docGrid w:type="lines" w:linePitch="312" w:charSpace="0"/>
        </w:sectPr>
      </w:pPr>
    </w:p>
    <w:p w14:paraId="1E44820F">
      <w:pPr>
        <w:numPr>
          <w:ilvl w:val="0"/>
          <w:numId w:val="1"/>
        </w:numPr>
        <w:jc w:val="center"/>
        <w:outlineLvl w:val="0"/>
        <w:rPr>
          <w:rFonts w:hint="default" w:ascii="Times New Roman" w:hAnsi="Times New Roman" w:eastAsia="黑体" w:cs="Times New Roman"/>
          <w:b/>
          <w:bCs/>
          <w:color w:val="auto"/>
          <w:sz w:val="30"/>
          <w:szCs w:val="30"/>
          <w:highlight w:val="none"/>
          <w:lang w:val="en-US" w:eastAsia="zh-CN"/>
        </w:rPr>
      </w:pPr>
      <w:bookmarkStart w:id="0" w:name="_Toc3724"/>
      <w:r>
        <w:rPr>
          <w:rFonts w:hint="default" w:ascii="Times New Roman" w:hAnsi="Times New Roman" w:eastAsia="黑体" w:cs="Times New Roman"/>
          <w:b/>
          <w:bCs/>
          <w:color w:val="auto"/>
          <w:sz w:val="30"/>
          <w:szCs w:val="30"/>
          <w:highlight w:val="none"/>
          <w:lang w:val="en-US" w:eastAsia="zh-CN"/>
        </w:rPr>
        <w:t>总则</w:t>
      </w:r>
      <w:bookmarkEnd w:id="0"/>
    </w:p>
    <w:p w14:paraId="5A785818">
      <w:pPr>
        <w:numPr>
          <w:ilvl w:val="1"/>
          <w:numId w:val="2"/>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1" w:name="_Toc5287"/>
      <w:r>
        <w:rPr>
          <w:rFonts w:hint="default" w:ascii="Times New Roman" w:hAnsi="Times New Roman" w:eastAsia="黑体" w:cs="Times New Roman"/>
          <w:b/>
          <w:bCs/>
          <w:color w:val="auto"/>
          <w:sz w:val="28"/>
          <w:szCs w:val="28"/>
          <w:highlight w:val="none"/>
          <w:lang w:val="en-US" w:eastAsia="zh-CN"/>
        </w:rPr>
        <w:t>编制原则</w:t>
      </w:r>
      <w:bookmarkEnd w:id="1"/>
    </w:p>
    <w:p w14:paraId="40B9E12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为了深入推进让人民群众住上更好的房子的目标，完善住房功能，以提高人民群众获得感为出发点，促进我市住宅建设的高质量发展，提升我市住宅品质，为建设好房子提供工程设计依据。围绕住宅品质提升的核心目标，结合政策导向、技术可行性，促进住宅品质</w:t>
      </w:r>
      <w:r>
        <w:rPr>
          <w:rFonts w:hint="eastAsia" w:ascii="Times New Roman" w:hAnsi="Times New Roman" w:eastAsia="仿宋" w:cs="Times New Roman"/>
          <w:b w:val="0"/>
          <w:bCs w:val="0"/>
          <w:color w:val="auto"/>
          <w:sz w:val="28"/>
          <w:szCs w:val="28"/>
          <w:highlight w:val="none"/>
          <w:lang w:val="en-US" w:eastAsia="zh-CN"/>
        </w:rPr>
        <w:t>优化</w:t>
      </w:r>
      <w:r>
        <w:rPr>
          <w:rFonts w:hint="default" w:ascii="Times New Roman" w:hAnsi="Times New Roman" w:eastAsia="仿宋" w:cs="Times New Roman"/>
          <w:b w:val="0"/>
          <w:bCs w:val="0"/>
          <w:color w:val="auto"/>
          <w:sz w:val="28"/>
          <w:szCs w:val="28"/>
          <w:highlight w:val="none"/>
          <w:lang w:val="en-US" w:eastAsia="zh-CN"/>
        </w:rPr>
        <w:t>，满足当前和未来的需求。依据国家标准规范，结合地方相关规划与指导文件，编制了《遂宁市好房子设计导则》。</w:t>
      </w:r>
    </w:p>
    <w:p w14:paraId="5EF3B529">
      <w:pPr>
        <w:numPr>
          <w:ilvl w:val="1"/>
          <w:numId w:val="2"/>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2" w:name="_Toc19059"/>
      <w:r>
        <w:rPr>
          <w:rFonts w:hint="default" w:ascii="Times New Roman" w:hAnsi="Times New Roman" w:eastAsia="黑体" w:cs="Times New Roman"/>
          <w:b/>
          <w:bCs/>
          <w:color w:val="auto"/>
          <w:sz w:val="28"/>
          <w:szCs w:val="28"/>
          <w:highlight w:val="none"/>
          <w:lang w:val="en-US" w:eastAsia="zh-CN"/>
        </w:rPr>
        <w:t>编制依据</w:t>
      </w:r>
      <w:bookmarkEnd w:id="2"/>
    </w:p>
    <w:p w14:paraId="1323B97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1.2.1.参考的主要标准规范：</w:t>
      </w:r>
    </w:p>
    <w:p w14:paraId="15FA250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1.《住宅项目规范》GB 55038—2025</w:t>
      </w:r>
    </w:p>
    <w:p w14:paraId="542E7DB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2.《建筑与市政工程无障碍通用规范》GB 55019—2021</w:t>
      </w:r>
    </w:p>
    <w:p w14:paraId="4662A2D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3.《建筑节能与可再生能源利用通用规范》GB 55015—2021</w:t>
      </w:r>
    </w:p>
    <w:p w14:paraId="52FFB5C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4.《建筑设计防火规范》GB 50016—2014（2018年版）</w:t>
      </w:r>
    </w:p>
    <w:p w14:paraId="497F400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5.《建筑防火通用规范》GB 55037—2022</w:t>
      </w:r>
    </w:p>
    <w:p w14:paraId="063728A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6.《建筑给水排水与节水通用规范》GB 55020—2021</w:t>
      </w:r>
    </w:p>
    <w:p w14:paraId="15D8060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7.《市容环卫工程项目规范》GB 55013—2021</w:t>
      </w:r>
    </w:p>
    <w:p w14:paraId="38EA5E8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8.《城市居住区规划设计标准》GB 50180—2018</w:t>
      </w:r>
    </w:p>
    <w:p w14:paraId="574A17F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9.《绿色建筑评价标准》GB/T 50378—2019（2024年版）</w:t>
      </w:r>
    </w:p>
    <w:p w14:paraId="2C0A78E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10.《建筑结构荷载规范》GB 50009—2012</w:t>
      </w:r>
    </w:p>
    <w:p w14:paraId="21FAEDF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11.《建筑给排水设计标准》GB 50015—2019</w:t>
      </w:r>
    </w:p>
    <w:p w14:paraId="40176CB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12.《建筑同层排水工程技术规程》CJJ 232—2016</w:t>
      </w:r>
    </w:p>
    <w:p w14:paraId="255BA17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13.《电动汽车分散充电设施工程技术标准》GB/T 51313—2018</w:t>
      </w:r>
    </w:p>
    <w:p w14:paraId="1394436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14.《建筑照明设计标准》GB/T 50034—2024</w:t>
      </w:r>
    </w:p>
    <w:p w14:paraId="16CF84B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15.《声环境质量标准》GB 3096—2008</w:t>
      </w:r>
    </w:p>
    <w:p w14:paraId="3D1150B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16.《建筑抗震设计标准》GB 50011—2010（2024年版）</w:t>
      </w:r>
    </w:p>
    <w:p w14:paraId="306FFF5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17.《四川省住宅设计标准》DBJ 51/168—2021</w:t>
      </w:r>
    </w:p>
    <w:p w14:paraId="186CBA0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18.其</w:t>
      </w:r>
      <w:r>
        <w:rPr>
          <w:rFonts w:hint="eastAsia" w:ascii="Times New Roman" w:hAnsi="Times New Roman" w:eastAsia="仿宋" w:cs="Times New Roman"/>
          <w:b w:val="0"/>
          <w:bCs w:val="0"/>
          <w:color w:val="auto"/>
          <w:sz w:val="28"/>
          <w:szCs w:val="28"/>
          <w:highlight w:val="none"/>
          <w:lang w:val="en-US" w:eastAsia="zh-CN"/>
        </w:rPr>
        <w:t>他</w:t>
      </w:r>
      <w:r>
        <w:rPr>
          <w:rFonts w:hint="default" w:ascii="Times New Roman" w:hAnsi="Times New Roman" w:eastAsia="仿宋" w:cs="Times New Roman"/>
          <w:b w:val="0"/>
          <w:bCs w:val="0"/>
          <w:color w:val="auto"/>
          <w:sz w:val="28"/>
          <w:szCs w:val="28"/>
          <w:highlight w:val="none"/>
          <w:lang w:val="en-US" w:eastAsia="zh-CN"/>
        </w:rPr>
        <w:t>相关标准规范</w:t>
      </w:r>
    </w:p>
    <w:p w14:paraId="6B5F3E5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1.2.2.参考的主要规划与指导文件：</w:t>
      </w:r>
    </w:p>
    <w:p w14:paraId="49C9788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1.《四川省好住房设计导则》（2025）</w:t>
      </w:r>
    </w:p>
    <w:p w14:paraId="396DC37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2.《四川省好住房评价标准》T</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SCSTA001—2025</w:t>
      </w:r>
    </w:p>
    <w:p w14:paraId="61AD64E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3.《遂宁市国土空间总体规划（2021—2035</w:t>
      </w:r>
      <w:r>
        <w:rPr>
          <w:rFonts w:hint="eastAsia" w:ascii="Times New Roman" w:hAnsi="Times New Roman" w:eastAsia="仿宋" w:cs="Times New Roman"/>
          <w:b w:val="0"/>
          <w:bCs w:val="0"/>
          <w:color w:val="auto"/>
          <w:sz w:val="28"/>
          <w:szCs w:val="28"/>
          <w:highlight w:val="none"/>
          <w:lang w:val="en-US" w:eastAsia="zh-CN"/>
        </w:rPr>
        <w:t>年</w:t>
      </w:r>
      <w:r>
        <w:rPr>
          <w:rFonts w:hint="default" w:ascii="Times New Roman" w:hAnsi="Times New Roman" w:eastAsia="仿宋" w:cs="Times New Roman"/>
          <w:b w:val="0"/>
          <w:bCs w:val="0"/>
          <w:color w:val="auto"/>
          <w:sz w:val="28"/>
          <w:szCs w:val="28"/>
          <w:highlight w:val="none"/>
          <w:lang w:val="en-US" w:eastAsia="zh-CN"/>
        </w:rPr>
        <w:t>）》</w:t>
      </w:r>
    </w:p>
    <w:p w14:paraId="4FE9DD5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4.《遂宁市海绵城市专项规划（2015—2030）（2017增补）》（20</w:t>
      </w:r>
      <w:r>
        <w:rPr>
          <w:rFonts w:hint="eastAsia" w:ascii="Times New Roman" w:hAnsi="Times New Roman" w:eastAsia="仿宋" w:cs="Times New Roman"/>
          <w:b w:val="0"/>
          <w:bCs w:val="0"/>
          <w:color w:val="auto"/>
          <w:sz w:val="28"/>
          <w:szCs w:val="28"/>
          <w:highlight w:val="none"/>
          <w:lang w:val="en-US" w:eastAsia="zh-CN"/>
        </w:rPr>
        <w:t>19</w:t>
      </w:r>
      <w:r>
        <w:rPr>
          <w:rFonts w:hint="default" w:ascii="Times New Roman" w:hAnsi="Times New Roman" w:eastAsia="仿宋" w:cs="Times New Roman"/>
          <w:b w:val="0"/>
          <w:bCs w:val="0"/>
          <w:color w:val="auto"/>
          <w:sz w:val="28"/>
          <w:szCs w:val="28"/>
          <w:highlight w:val="none"/>
          <w:lang w:val="en-US" w:eastAsia="zh-CN"/>
        </w:rPr>
        <w:t>）</w:t>
      </w:r>
    </w:p>
    <w:p w14:paraId="5196D97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5.《遂宁市海绵城市建设设计导则（2022年修订）》</w:t>
      </w:r>
      <w:r>
        <w:rPr>
          <w:rFonts w:hint="eastAsia" w:ascii="Times New Roman" w:hAnsi="Times New Roman" w:eastAsia="仿宋" w:cs="Times New Roman"/>
          <w:b w:val="0"/>
          <w:bCs w:val="0"/>
          <w:color w:val="auto"/>
          <w:sz w:val="28"/>
          <w:szCs w:val="28"/>
          <w:highlight w:val="none"/>
          <w:lang w:val="en-US" w:eastAsia="zh-CN"/>
        </w:rPr>
        <w:t>（2022）</w:t>
      </w:r>
    </w:p>
    <w:p w14:paraId="4FC3BA6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6.《海绵城市建设技术指南》（2014）</w:t>
      </w:r>
    </w:p>
    <w:p w14:paraId="71ED95C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7.《遂宁市建设项目施工图设计文件 海绵城市专篇审查要点》（2022年修订）</w:t>
      </w:r>
    </w:p>
    <w:p w14:paraId="0319C27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8.《遂宁市城市规划管理技术规定</w:t>
      </w:r>
      <w:r>
        <w:rPr>
          <w:rFonts w:hint="eastAsia" w:ascii="Times New Roman" w:hAnsi="Times New Roman" w:eastAsia="仿宋" w:cs="Times New Roman"/>
          <w:b w:val="0"/>
          <w:bCs w:val="0"/>
          <w:color w:val="auto"/>
          <w:sz w:val="28"/>
          <w:szCs w:val="28"/>
          <w:highlight w:val="none"/>
          <w:lang w:val="en-US" w:eastAsia="zh-CN"/>
        </w:rPr>
        <w:t>（修订）</w:t>
      </w:r>
      <w:r>
        <w:rPr>
          <w:rFonts w:hint="default" w:ascii="Times New Roman" w:hAnsi="Times New Roman" w:eastAsia="仿宋" w:cs="Times New Roman"/>
          <w:b w:val="0"/>
          <w:bCs w:val="0"/>
          <w:color w:val="auto"/>
          <w:sz w:val="28"/>
          <w:szCs w:val="28"/>
          <w:highlight w:val="none"/>
          <w:lang w:val="en-US" w:eastAsia="zh-CN"/>
        </w:rPr>
        <w:t>》（2020）</w:t>
      </w:r>
    </w:p>
    <w:p w14:paraId="713E0EC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9.《遂宁市中心城区风貌规划导则》（2020）</w:t>
      </w:r>
    </w:p>
    <w:p w14:paraId="7FBF564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10.《遂宁市建筑第五立面设计导则》（2021）</w:t>
      </w:r>
    </w:p>
    <w:p w14:paraId="4FCE817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11.其</w:t>
      </w:r>
      <w:r>
        <w:rPr>
          <w:rFonts w:hint="eastAsia" w:ascii="Times New Roman" w:hAnsi="Times New Roman" w:eastAsia="仿宋" w:cs="Times New Roman"/>
          <w:b w:val="0"/>
          <w:bCs w:val="0"/>
          <w:color w:val="auto"/>
          <w:sz w:val="28"/>
          <w:szCs w:val="28"/>
          <w:highlight w:val="none"/>
          <w:lang w:val="en-US" w:eastAsia="zh-CN"/>
        </w:rPr>
        <w:t>他</w:t>
      </w:r>
      <w:r>
        <w:rPr>
          <w:rFonts w:hint="default" w:ascii="Times New Roman" w:hAnsi="Times New Roman" w:eastAsia="仿宋" w:cs="Times New Roman"/>
          <w:b w:val="0"/>
          <w:bCs w:val="0"/>
          <w:color w:val="auto"/>
          <w:sz w:val="28"/>
          <w:szCs w:val="28"/>
          <w:highlight w:val="none"/>
          <w:lang w:val="en-US" w:eastAsia="zh-CN"/>
        </w:rPr>
        <w:t>规划与指导文件</w:t>
      </w:r>
    </w:p>
    <w:p w14:paraId="5F993858">
      <w:pPr>
        <w:numPr>
          <w:ilvl w:val="1"/>
          <w:numId w:val="2"/>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 w:name="_Toc4579"/>
      <w:r>
        <w:rPr>
          <w:rFonts w:hint="default" w:ascii="Times New Roman" w:hAnsi="Times New Roman" w:eastAsia="黑体" w:cs="Times New Roman"/>
          <w:b/>
          <w:bCs/>
          <w:color w:val="auto"/>
          <w:sz w:val="28"/>
          <w:szCs w:val="28"/>
          <w:highlight w:val="none"/>
          <w:lang w:val="en-US" w:eastAsia="zh-CN"/>
        </w:rPr>
        <w:t>适用范围</w:t>
      </w:r>
      <w:bookmarkEnd w:id="3"/>
    </w:p>
    <w:p w14:paraId="7590BA1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本导则适用于遂宁市中心城区</w:t>
      </w:r>
      <w:r>
        <w:rPr>
          <w:rFonts w:hint="eastAsia" w:ascii="Times New Roman" w:hAnsi="Times New Roman" w:eastAsia="仿宋" w:cs="Times New Roman"/>
          <w:b w:val="0"/>
          <w:bCs w:val="0"/>
          <w:color w:val="auto"/>
          <w:sz w:val="28"/>
          <w:szCs w:val="28"/>
          <w:highlight w:val="none"/>
          <w:lang w:val="en-US" w:eastAsia="zh-CN"/>
        </w:rPr>
        <w:t>、金桥、磨溪</w:t>
      </w:r>
      <w:r>
        <w:rPr>
          <w:rFonts w:hint="default" w:ascii="Times New Roman" w:hAnsi="Times New Roman" w:eastAsia="仿宋" w:cs="Times New Roman"/>
          <w:b w:val="0"/>
          <w:bCs w:val="0"/>
          <w:color w:val="auto"/>
          <w:sz w:val="28"/>
          <w:szCs w:val="28"/>
          <w:highlight w:val="none"/>
          <w:lang w:val="en-US" w:eastAsia="zh-CN"/>
        </w:rPr>
        <w:t>新建高品质住宅与改建/扩建优质住宅的建筑设计工作，遂宁市其</w:t>
      </w:r>
      <w:r>
        <w:rPr>
          <w:rFonts w:hint="eastAsia" w:ascii="Times New Roman" w:hAnsi="Times New Roman" w:eastAsia="仿宋" w:cs="Times New Roman"/>
          <w:b w:val="0"/>
          <w:bCs w:val="0"/>
          <w:color w:val="auto"/>
          <w:sz w:val="28"/>
          <w:szCs w:val="28"/>
          <w:highlight w:val="none"/>
          <w:lang w:val="en-US" w:eastAsia="zh-CN"/>
        </w:rPr>
        <w:t>他</w:t>
      </w:r>
      <w:r>
        <w:rPr>
          <w:rFonts w:hint="default" w:ascii="Times New Roman" w:hAnsi="Times New Roman" w:eastAsia="仿宋" w:cs="Times New Roman"/>
          <w:b w:val="0"/>
          <w:bCs w:val="0"/>
          <w:color w:val="auto"/>
          <w:sz w:val="28"/>
          <w:szCs w:val="28"/>
          <w:highlight w:val="none"/>
          <w:lang w:val="en-US" w:eastAsia="zh-CN"/>
        </w:rPr>
        <w:t>区域参照本导则执行，</w:t>
      </w:r>
      <w:r>
        <w:rPr>
          <w:rFonts w:hint="eastAsia" w:ascii="Times New Roman" w:hAnsi="Times New Roman" w:eastAsia="仿宋" w:cs="Times New Roman"/>
          <w:b w:val="0"/>
          <w:bCs w:val="0"/>
          <w:color w:val="auto"/>
          <w:sz w:val="28"/>
          <w:szCs w:val="28"/>
          <w:highlight w:val="none"/>
          <w:lang w:val="en-US" w:eastAsia="zh-CN"/>
        </w:rPr>
        <w:t>也</w:t>
      </w:r>
      <w:r>
        <w:rPr>
          <w:rFonts w:hint="default" w:ascii="Times New Roman" w:hAnsi="Times New Roman" w:eastAsia="仿宋" w:cs="Times New Roman"/>
          <w:b w:val="0"/>
          <w:bCs w:val="0"/>
          <w:color w:val="auto"/>
          <w:sz w:val="28"/>
          <w:szCs w:val="28"/>
          <w:highlight w:val="none"/>
          <w:lang w:val="en-US" w:eastAsia="zh-CN"/>
        </w:rPr>
        <w:t>可结合本地实际情况制定相应的规定。涉及相关法律法规有明确要求的区域，应在满足相关法律法规的前提下，按本导则要求进行提升。</w:t>
      </w:r>
    </w:p>
    <w:p w14:paraId="56B1583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本导则未涉及的内容，应当按照国家、本市现行的规范、标准执行。</w:t>
      </w:r>
    </w:p>
    <w:p w14:paraId="633C71E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912235" cy="4775200"/>
            <wp:effectExtent l="0" t="0" r="12065" b="6350"/>
            <wp:docPr id="92" name="图片 5" descr="微信图片_202505061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descr="微信图片_20250506143038"/>
                    <pic:cNvPicPr>
                      <a:picLocks noChangeAspect="1"/>
                    </pic:cNvPicPr>
                  </pic:nvPicPr>
                  <pic:blipFill>
                    <a:blip r:embed="rId6"/>
                    <a:srcRect l="3146" t="8889" r="4038" b="11111"/>
                    <a:stretch>
                      <a:fillRect/>
                    </a:stretch>
                  </pic:blipFill>
                  <pic:spPr>
                    <a:xfrm>
                      <a:off x="0" y="0"/>
                      <a:ext cx="3912235" cy="4775200"/>
                    </a:xfrm>
                    <a:prstGeom prst="rect">
                      <a:avLst/>
                    </a:prstGeom>
                  </pic:spPr>
                </pic:pic>
              </a:graphicData>
            </a:graphic>
          </wp:inline>
        </w:drawing>
      </w:r>
    </w:p>
    <w:p w14:paraId="70C2D350">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highlight w:val="none"/>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 xml:space="preserve">-1 </w:t>
      </w:r>
      <w:r>
        <w:rPr>
          <w:rFonts w:hint="default" w:ascii="Times New Roman" w:hAnsi="Times New Roman" w:eastAsia="仿宋" w:cs="Times New Roman"/>
          <w:b w:val="0"/>
          <w:bCs w:val="0"/>
          <w:color w:val="auto"/>
          <w:sz w:val="28"/>
          <w:szCs w:val="28"/>
          <w:highlight w:val="none"/>
          <w:lang w:val="en-US" w:eastAsia="zh-CN"/>
        </w:rPr>
        <w:t>导则适用范围</w:t>
      </w:r>
      <w:r>
        <w:rPr>
          <w:rFonts w:hint="default" w:ascii="Times New Roman" w:hAnsi="Times New Roman" w:eastAsia="仿宋" w:cs="Times New Roman"/>
          <w:b w:val="0"/>
          <w:bCs w:val="0"/>
          <w:color w:val="auto"/>
          <w:sz w:val="28"/>
          <w:szCs w:val="28"/>
          <w:highlight w:val="none"/>
        </w:rPr>
        <w:t>图</w:t>
      </w:r>
    </w:p>
    <w:p w14:paraId="3B8EBBBD">
      <w:pPr>
        <w:rPr>
          <w:rFonts w:hint="default" w:ascii="Times New Roman" w:hAnsi="Times New Roman" w:eastAsia="仿宋" w:cs="Times New Roman"/>
          <w:b w:val="0"/>
          <w:bCs w:val="0"/>
          <w:color w:val="auto"/>
          <w:sz w:val="28"/>
          <w:szCs w:val="28"/>
          <w:highlight w:val="none"/>
        </w:rPr>
      </w:pPr>
      <w:r>
        <w:rPr>
          <w:rFonts w:hint="default" w:ascii="Times New Roman" w:hAnsi="Times New Roman" w:eastAsia="仿宋" w:cs="Times New Roman"/>
          <w:b w:val="0"/>
          <w:bCs w:val="0"/>
          <w:color w:val="auto"/>
          <w:sz w:val="28"/>
          <w:szCs w:val="28"/>
          <w:highlight w:val="none"/>
        </w:rPr>
        <w:br w:type="page"/>
      </w:r>
    </w:p>
    <w:p w14:paraId="62B24F99">
      <w:pPr>
        <w:numPr>
          <w:ilvl w:val="0"/>
          <w:numId w:val="1"/>
        </w:numPr>
        <w:jc w:val="center"/>
        <w:outlineLvl w:val="0"/>
        <w:rPr>
          <w:rFonts w:hint="default" w:ascii="Times New Roman" w:hAnsi="Times New Roman" w:eastAsia="黑体" w:cs="Times New Roman"/>
          <w:b/>
          <w:bCs/>
          <w:color w:val="auto"/>
          <w:sz w:val="30"/>
          <w:szCs w:val="30"/>
          <w:highlight w:val="none"/>
          <w:lang w:val="en-US" w:eastAsia="zh-CN"/>
        </w:rPr>
      </w:pPr>
      <w:bookmarkStart w:id="4" w:name="_Toc32134"/>
      <w:r>
        <w:rPr>
          <w:rFonts w:hint="default" w:ascii="Times New Roman" w:hAnsi="Times New Roman" w:eastAsia="黑体" w:cs="Times New Roman"/>
          <w:b/>
          <w:bCs/>
          <w:color w:val="auto"/>
          <w:sz w:val="30"/>
          <w:szCs w:val="30"/>
          <w:highlight w:val="none"/>
          <w:lang w:val="en-US" w:eastAsia="zh-CN"/>
        </w:rPr>
        <w:t>总体布局</w:t>
      </w:r>
      <w:bookmarkEnd w:id="4"/>
    </w:p>
    <w:p w14:paraId="1E671D1B">
      <w:pPr>
        <w:numPr>
          <w:ilvl w:val="1"/>
          <w:numId w:val="3"/>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5" w:name="_Toc16246"/>
      <w:r>
        <w:rPr>
          <w:rFonts w:hint="default" w:ascii="Times New Roman" w:hAnsi="Times New Roman" w:eastAsia="黑体" w:cs="Times New Roman"/>
          <w:b/>
          <w:bCs/>
          <w:color w:val="auto"/>
          <w:sz w:val="28"/>
          <w:szCs w:val="28"/>
          <w:highlight w:val="none"/>
          <w:lang w:val="en-US" w:eastAsia="zh-CN"/>
        </w:rPr>
        <w:t>外部环境</w:t>
      </w:r>
      <w:bookmarkEnd w:id="5"/>
    </w:p>
    <w:p w14:paraId="768EC270">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住区选址应符合国土空间规划、遂宁城市规划管理技术规定以及文物保护、生态保护、耕地保护等有关要求</w:t>
      </w:r>
      <w:r>
        <w:rPr>
          <w:rFonts w:hint="default" w:ascii="Times New Roman" w:hAnsi="Times New Roman" w:eastAsia="仿宋" w:cs="Times New Roman"/>
          <w:b w:val="0"/>
          <w:bCs w:val="0"/>
          <w:color w:val="auto"/>
          <w:sz w:val="28"/>
          <w:szCs w:val="28"/>
          <w:highlight w:val="none"/>
          <w:lang w:eastAsia="zh-CN"/>
        </w:rPr>
        <w:t>，</w:t>
      </w:r>
      <w:r>
        <w:rPr>
          <w:rFonts w:hint="eastAsia" w:ascii="Times New Roman" w:hAnsi="Times New Roman" w:eastAsia="仿宋" w:cs="Times New Roman"/>
          <w:b w:val="0"/>
          <w:bCs w:val="0"/>
          <w:color w:val="auto"/>
          <w:sz w:val="28"/>
          <w:szCs w:val="28"/>
          <w:highlight w:val="none"/>
          <w:lang w:val="en-US" w:eastAsia="zh-CN"/>
        </w:rPr>
        <w:t>并</w:t>
      </w:r>
      <w:r>
        <w:rPr>
          <w:rFonts w:hint="default" w:ascii="Times New Roman" w:hAnsi="Times New Roman" w:eastAsia="仿宋" w:cs="Times New Roman"/>
          <w:b w:val="0"/>
          <w:bCs w:val="0"/>
          <w:color w:val="auto"/>
          <w:sz w:val="28"/>
          <w:szCs w:val="28"/>
          <w:highlight w:val="none"/>
        </w:rPr>
        <w:t>具有优质用地区位、外部交通配套资源、社区综合配套设施和舒适宜居环境的特征。</w:t>
      </w:r>
    </w:p>
    <w:p w14:paraId="00FEB641">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住区应选择在安全、适宜居住的地段进行建设：</w:t>
      </w:r>
    </w:p>
    <w:p w14:paraId="327BB5E9">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1</w:t>
      </w:r>
      <w:bookmarkStart w:id="6" w:name="OLE_LINK96"/>
      <w:bookmarkStart w:id="7" w:name="OLE_LINK95"/>
      <w:r>
        <w:rPr>
          <w:rFonts w:hint="default" w:ascii="Times New Roman" w:hAnsi="Times New Roman" w:eastAsia="仿宋" w:cs="Times New Roman"/>
          <w:color w:val="auto"/>
          <w:sz w:val="28"/>
          <w:szCs w:val="28"/>
          <w:highlight w:val="none"/>
          <w:u w:val="none"/>
          <w:lang w:val="en-US" w:eastAsia="zh-CN"/>
        </w:rPr>
        <w:t xml:space="preserve"> </w:t>
      </w:r>
      <w:r>
        <w:rPr>
          <w:rFonts w:hint="eastAsia" w:ascii="仿宋" w:hAnsi="仿宋" w:eastAsia="仿宋" w:cs="仿宋"/>
          <w:color w:val="auto"/>
          <w:sz w:val="28"/>
          <w:szCs w:val="28"/>
          <w:highlight w:val="none"/>
          <w:u w:val="none"/>
        </w:rPr>
        <w:t>应避开永久基本农田、生态保护红线等底线管控</w:t>
      </w:r>
      <w:r>
        <w:rPr>
          <w:rFonts w:hint="eastAsia" w:ascii="仿宋" w:hAnsi="仿宋" w:eastAsia="仿宋" w:cs="仿宋"/>
          <w:color w:val="auto"/>
          <w:sz w:val="28"/>
          <w:szCs w:val="28"/>
          <w:highlight w:val="none"/>
          <w:u w:val="none"/>
          <w:lang w:val="en-US" w:eastAsia="zh-CN"/>
        </w:rPr>
        <w:t>要素</w:t>
      </w:r>
      <w:r>
        <w:rPr>
          <w:rFonts w:hint="eastAsia" w:ascii="仿宋" w:hAnsi="仿宋" w:eastAsia="仿宋" w:cs="仿宋"/>
          <w:color w:val="auto"/>
          <w:sz w:val="28"/>
          <w:szCs w:val="28"/>
          <w:highlight w:val="none"/>
          <w:u w:val="none"/>
        </w:rPr>
        <w:t>以及有滑坡、泥石流、山洪等自然灾害</w:t>
      </w:r>
      <w:r>
        <w:rPr>
          <w:rFonts w:hint="eastAsia" w:ascii="仿宋" w:hAnsi="仿宋" w:eastAsia="仿宋" w:cs="仿宋"/>
          <w:color w:val="auto"/>
          <w:sz w:val="28"/>
          <w:szCs w:val="28"/>
          <w:highlight w:val="none"/>
          <w:u w:val="none"/>
          <w:lang w:val="en-US" w:eastAsia="zh-CN"/>
        </w:rPr>
        <w:t>风险</w:t>
      </w:r>
      <w:r>
        <w:rPr>
          <w:rFonts w:hint="eastAsia" w:ascii="仿宋" w:hAnsi="仿宋" w:eastAsia="仿宋" w:cs="仿宋"/>
          <w:color w:val="auto"/>
          <w:sz w:val="28"/>
          <w:szCs w:val="28"/>
          <w:highlight w:val="none"/>
          <w:u w:val="none"/>
        </w:rPr>
        <w:t>地段进行建设</w:t>
      </w:r>
      <w:r>
        <w:rPr>
          <w:rFonts w:hint="default" w:ascii="Times New Roman" w:hAnsi="Times New Roman" w:eastAsia="仿宋" w:cs="Times New Roman"/>
          <w:color w:val="auto"/>
          <w:sz w:val="28"/>
          <w:szCs w:val="28"/>
          <w:highlight w:val="none"/>
          <w:u w:val="none"/>
        </w:rPr>
        <w:t>；</w:t>
      </w:r>
      <w:bookmarkEnd w:id="6"/>
      <w:bookmarkEnd w:id="7"/>
    </w:p>
    <w:p w14:paraId="635E846D">
      <w:pPr>
        <w:tabs>
          <w:tab w:val="left" w:pos="420"/>
        </w:tabs>
        <w:ind w:firstLine="420" w:firstLineChars="200"/>
        <w:jc w:val="center"/>
        <w:rPr>
          <w:rFonts w:hint="default" w:ascii="Times New Roman" w:hAnsi="Times New Roman" w:eastAsia="仿宋" w:cs="Times New Roman"/>
          <w:color w:val="auto"/>
          <w:sz w:val="28"/>
          <w:szCs w:val="28"/>
          <w:highlight w:val="none"/>
          <w:u w:val="none"/>
        </w:rPr>
      </w:pPr>
      <w:r>
        <w:rPr>
          <w:rFonts w:hint="default" w:ascii="Times New Roman" w:hAnsi="Times New Roman" w:cs="Times New Roman"/>
          <w:color w:val="auto"/>
          <w:highlight w:val="none"/>
          <w:u w:val="none"/>
        </w:rPr>
        <w:drawing>
          <wp:inline distT="0" distB="0" distL="114300" distR="114300">
            <wp:extent cx="4653280" cy="1282700"/>
            <wp:effectExtent l="0" t="0" r="13970" b="1270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7"/>
                    <a:stretch>
                      <a:fillRect/>
                    </a:stretch>
                  </pic:blipFill>
                  <pic:spPr>
                    <a:xfrm>
                      <a:off x="0" y="0"/>
                      <a:ext cx="4653280" cy="1282700"/>
                    </a:xfrm>
                    <a:prstGeom prst="rect">
                      <a:avLst/>
                    </a:prstGeom>
                  </pic:spPr>
                </pic:pic>
              </a:graphicData>
            </a:graphic>
          </wp:inline>
        </w:drawing>
      </w:r>
    </w:p>
    <w:p w14:paraId="1B288F0A">
      <w:pPr>
        <w:tabs>
          <w:tab w:val="left" w:pos="420"/>
        </w:tabs>
        <w:ind w:left="420" w:leftChars="200"/>
        <w:jc w:val="center"/>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图2-1-1 住区选址</w:t>
      </w:r>
      <w:r>
        <w:rPr>
          <w:rFonts w:hint="eastAsia" w:ascii="Times New Roman" w:hAnsi="Times New Roman" w:eastAsia="仿宋" w:cs="Times New Roman"/>
          <w:color w:val="auto"/>
          <w:sz w:val="28"/>
          <w:szCs w:val="28"/>
          <w:highlight w:val="none"/>
          <w:u w:val="none"/>
          <w:lang w:val="en-US" w:eastAsia="zh-CN"/>
        </w:rPr>
        <w:t>与自然风险地段关系</w:t>
      </w:r>
      <w:r>
        <w:rPr>
          <w:rFonts w:hint="default" w:ascii="Times New Roman" w:hAnsi="Times New Roman" w:eastAsia="仿宋" w:cs="Times New Roman"/>
          <w:color w:val="auto"/>
          <w:sz w:val="28"/>
          <w:szCs w:val="28"/>
          <w:highlight w:val="none"/>
          <w:u w:val="none"/>
        </w:rPr>
        <w:t>示意图</w:t>
      </w:r>
    </w:p>
    <w:p w14:paraId="4325E37B">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2</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因用地限制位于坡度较大的山地、丘陵地区</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应有相关用地条件评估报告和防灾工程处理措施；</w:t>
      </w:r>
    </w:p>
    <w:p w14:paraId="5E63B33C">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3</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与危险化学品仓库应至少满足不小于50m的防火间距、与易燃易爆品等危险源</w:t>
      </w:r>
      <w:r>
        <w:rPr>
          <w:rFonts w:hint="eastAsia" w:ascii="Times New Roman" w:hAnsi="Times New Roman" w:eastAsia="仿宋" w:cs="Times New Roman"/>
          <w:color w:val="auto"/>
          <w:sz w:val="28"/>
          <w:szCs w:val="28"/>
          <w:highlight w:val="none"/>
          <w:u w:val="none"/>
          <w:lang w:val="en-US" w:eastAsia="zh-CN"/>
        </w:rPr>
        <w:t>应</w:t>
      </w:r>
      <w:r>
        <w:rPr>
          <w:rFonts w:hint="default" w:ascii="Times New Roman" w:hAnsi="Times New Roman" w:eastAsia="仿宋" w:cs="Times New Roman"/>
          <w:color w:val="auto"/>
          <w:sz w:val="28"/>
          <w:szCs w:val="28"/>
          <w:highlight w:val="none"/>
          <w:u w:val="none"/>
        </w:rPr>
        <w:t>至少满足不小于1000m的防护距离。应位于区域主导风向的上风向</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并应满足其他安全规定；</w:t>
      </w:r>
    </w:p>
    <w:p w14:paraId="2D2977F8">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4</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应有土壤氡浓度检测报告、土壤污染状况的调查报告</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w:t>
      </w:r>
      <w:r>
        <w:rPr>
          <w:rFonts w:hint="default" w:ascii="Times New Roman" w:hAnsi="Times New Roman" w:eastAsia="仿宋" w:cs="Times New Roman"/>
          <w:color w:val="auto"/>
          <w:sz w:val="28"/>
          <w:szCs w:val="28"/>
          <w:highlight w:val="none"/>
          <w:u w:val="none"/>
          <w:lang w:val="en-US" w:eastAsia="zh-CN"/>
        </w:rPr>
        <w:t>在</w:t>
      </w:r>
      <w:r>
        <w:rPr>
          <w:rFonts w:hint="default" w:ascii="Times New Roman" w:hAnsi="Times New Roman" w:eastAsia="仿宋" w:cs="Times New Roman"/>
          <w:color w:val="auto"/>
          <w:sz w:val="28"/>
          <w:szCs w:val="28"/>
          <w:highlight w:val="none"/>
          <w:u w:val="none"/>
        </w:rPr>
        <w:t>勘察设计阶段根据检测结果采取构造与土壤无害化防治措施</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并应达到居住用地土壤环境质量的要求；</w:t>
      </w:r>
    </w:p>
    <w:p w14:paraId="444FE214">
      <w:pPr>
        <w:tabs>
          <w:tab w:val="left" w:pos="420"/>
        </w:tabs>
        <w:ind w:firstLine="560" w:firstLineChars="200"/>
        <w:rPr>
          <w:rFonts w:hint="default" w:ascii="Times New Roman" w:hAnsi="Times New Roman" w:eastAsia="仿宋" w:cs="Times New Roman"/>
          <w:b w:val="0"/>
          <w:bCs w:val="0"/>
          <w:color w:val="auto"/>
          <w:sz w:val="28"/>
          <w:szCs w:val="28"/>
          <w:highlight w:val="none"/>
          <w:u w:val="none"/>
          <w:lang w:val="en-US" w:eastAsia="zh-CN"/>
        </w:rPr>
      </w:pPr>
      <w:r>
        <w:rPr>
          <w:rFonts w:hint="default" w:ascii="Times New Roman" w:hAnsi="Times New Roman" w:eastAsia="仿宋" w:cs="Times New Roman"/>
          <w:color w:val="auto"/>
          <w:sz w:val="28"/>
          <w:szCs w:val="28"/>
          <w:highlight w:val="none"/>
          <w:u w:val="none"/>
        </w:rPr>
        <w:t>5</w:t>
      </w:r>
      <w:r>
        <w:rPr>
          <w:rFonts w:hint="eastAsia"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应避免有排放超标的污染源的场地</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若有污染源</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应采取相应措施并达标排放</w:t>
      </w:r>
      <w:r>
        <w:rPr>
          <w:rFonts w:hint="default" w:ascii="Times New Roman" w:hAnsi="Times New Roman" w:eastAsia="仿宋" w:cs="Times New Roman"/>
          <w:color w:val="auto"/>
          <w:sz w:val="28"/>
          <w:szCs w:val="28"/>
          <w:highlight w:val="none"/>
          <w:u w:val="none"/>
          <w:lang w:eastAsia="zh-CN"/>
        </w:rPr>
        <w:t>。</w:t>
      </w:r>
    </w:p>
    <w:p w14:paraId="24098972">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住区应在交通便利之处，</w:t>
      </w:r>
      <w:r>
        <w:rPr>
          <w:rFonts w:hint="eastAsia" w:ascii="Times New Roman" w:hAnsi="Times New Roman" w:eastAsia="仿宋" w:cs="Times New Roman"/>
          <w:b w:val="0"/>
          <w:bCs w:val="0"/>
          <w:color w:val="auto"/>
          <w:sz w:val="28"/>
          <w:szCs w:val="28"/>
          <w:highlight w:val="none"/>
          <w:lang w:val="en-US" w:eastAsia="zh-CN"/>
        </w:rPr>
        <w:t>与</w:t>
      </w:r>
      <w:r>
        <w:rPr>
          <w:rFonts w:hint="default" w:ascii="Times New Roman" w:hAnsi="Times New Roman" w:eastAsia="仿宋" w:cs="Times New Roman"/>
          <w:b w:val="0"/>
          <w:bCs w:val="0"/>
          <w:color w:val="auto"/>
          <w:sz w:val="28"/>
          <w:szCs w:val="28"/>
          <w:highlight w:val="none"/>
          <w:lang w:val="en-US" w:eastAsia="zh-CN"/>
        </w:rPr>
        <w:t>出入口与城市道路</w:t>
      </w:r>
      <w:r>
        <w:rPr>
          <w:rFonts w:hint="eastAsia" w:ascii="Times New Roman" w:hAnsi="Times New Roman" w:eastAsia="仿宋" w:cs="Times New Roman"/>
          <w:b w:val="0"/>
          <w:bCs w:val="0"/>
          <w:color w:val="auto"/>
          <w:sz w:val="28"/>
          <w:szCs w:val="28"/>
          <w:highlight w:val="none"/>
          <w:lang w:val="en-US" w:eastAsia="zh-CN"/>
        </w:rPr>
        <w:t>有</w:t>
      </w:r>
      <w:r>
        <w:rPr>
          <w:rFonts w:hint="default" w:ascii="Times New Roman" w:hAnsi="Times New Roman" w:eastAsia="仿宋" w:cs="Times New Roman"/>
          <w:b w:val="0"/>
          <w:bCs w:val="0"/>
          <w:color w:val="auto"/>
          <w:sz w:val="28"/>
          <w:szCs w:val="28"/>
          <w:highlight w:val="none"/>
          <w:lang w:val="en-US" w:eastAsia="zh-CN"/>
        </w:rPr>
        <w:t>便捷联系，能快速通达城市各类功能</w:t>
      </w:r>
      <w:r>
        <w:rPr>
          <w:rFonts w:hint="eastAsia" w:ascii="Times New Roman" w:hAnsi="Times New Roman" w:eastAsia="仿宋" w:cs="Times New Roman"/>
          <w:b w:val="0"/>
          <w:bCs w:val="0"/>
          <w:color w:val="auto"/>
          <w:sz w:val="28"/>
          <w:szCs w:val="28"/>
          <w:highlight w:val="none"/>
          <w:lang w:val="en-US" w:eastAsia="zh-CN"/>
        </w:rPr>
        <w:t>空间或功能区</w:t>
      </w:r>
      <w:r>
        <w:rPr>
          <w:rFonts w:hint="default" w:ascii="Times New Roman" w:hAnsi="Times New Roman" w:eastAsia="仿宋" w:cs="Times New Roman"/>
          <w:b w:val="0"/>
          <w:bCs w:val="0"/>
          <w:color w:val="auto"/>
          <w:sz w:val="28"/>
          <w:szCs w:val="28"/>
          <w:highlight w:val="none"/>
          <w:lang w:val="en-US" w:eastAsia="zh-CN"/>
        </w:rPr>
        <w:t>，</w:t>
      </w:r>
      <w:r>
        <w:rPr>
          <w:rFonts w:hint="eastAsia" w:ascii="Times New Roman" w:hAnsi="Times New Roman" w:eastAsia="仿宋" w:cs="Times New Roman"/>
          <w:b w:val="0"/>
          <w:bCs w:val="0"/>
          <w:color w:val="auto"/>
          <w:sz w:val="28"/>
          <w:szCs w:val="28"/>
          <w:highlight w:val="none"/>
          <w:lang w:val="en-US" w:eastAsia="zh-CN"/>
        </w:rPr>
        <w:t>但不宜</w:t>
      </w:r>
      <w:r>
        <w:rPr>
          <w:rFonts w:hint="default" w:ascii="Times New Roman" w:hAnsi="Times New Roman" w:eastAsia="仿宋" w:cs="Times New Roman"/>
          <w:b w:val="0"/>
          <w:bCs w:val="0"/>
          <w:color w:val="auto"/>
          <w:sz w:val="28"/>
          <w:szCs w:val="28"/>
          <w:highlight w:val="none"/>
          <w:lang w:val="en-US" w:eastAsia="zh-CN"/>
        </w:rPr>
        <w:t>临近快速路、主干路或高速公路。</w:t>
      </w:r>
    </w:p>
    <w:p w14:paraId="05FCBD8D">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鼓励高密度社区设置支路网络和宜人尺度的路口间距，路口间距宜为150</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250m，并与居住街坊布局相结合。</w:t>
      </w:r>
    </w:p>
    <w:p w14:paraId="39A24709">
      <w:pPr>
        <w:numPr>
          <w:ilvl w:val="0"/>
          <w:numId w:val="0"/>
        </w:numPr>
        <w:tabs>
          <w:tab w:val="left" w:pos="420"/>
        </w:tabs>
        <w:ind w:leftChars="200"/>
        <w:jc w:val="center"/>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3411855" cy="1527175"/>
            <wp:effectExtent l="0" t="0" r="1714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11855" cy="1527175"/>
                    </a:xfrm>
                    <a:prstGeom prst="rect">
                      <a:avLst/>
                    </a:prstGeom>
                    <a:noFill/>
                  </pic:spPr>
                </pic:pic>
              </a:graphicData>
            </a:graphic>
          </wp:inline>
        </w:drawing>
      </w:r>
    </w:p>
    <w:p w14:paraId="50861B34">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图2-</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2</w:t>
      </w:r>
      <w:r>
        <w:rPr>
          <w:rFonts w:hint="default" w:ascii="Times New Roman" w:hAnsi="Times New Roman" w:eastAsia="仿宋" w:cs="Times New Roman"/>
          <w:b w:val="0"/>
          <w:bCs w:val="0"/>
          <w:color w:val="auto"/>
          <w:sz w:val="28"/>
          <w:szCs w:val="28"/>
          <w:highlight w:val="none"/>
        </w:rPr>
        <w:t xml:space="preserve"> </w:t>
      </w:r>
      <w:r>
        <w:rPr>
          <w:rFonts w:hint="eastAsia" w:ascii="Times New Roman" w:hAnsi="Times New Roman" w:eastAsia="仿宋" w:cs="Times New Roman"/>
          <w:b w:val="0"/>
          <w:bCs w:val="0"/>
          <w:color w:val="auto"/>
          <w:sz w:val="28"/>
          <w:szCs w:val="28"/>
          <w:highlight w:val="none"/>
          <w:lang w:val="en-US" w:eastAsia="zh-CN"/>
        </w:rPr>
        <w:t>路口间距</w:t>
      </w:r>
      <w:r>
        <w:rPr>
          <w:rFonts w:hint="default" w:ascii="Times New Roman" w:hAnsi="Times New Roman" w:eastAsia="仿宋" w:cs="Times New Roman"/>
          <w:b w:val="0"/>
          <w:bCs w:val="0"/>
          <w:color w:val="auto"/>
          <w:sz w:val="28"/>
          <w:szCs w:val="28"/>
          <w:highlight w:val="none"/>
        </w:rPr>
        <w:t>示意图</w:t>
      </w:r>
    </w:p>
    <w:p w14:paraId="1D5258AA">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住区应与公共交通站点有便捷联系，出入口到达公共交通站点的步行距离不宜超过500m。</w:t>
      </w:r>
    </w:p>
    <w:p w14:paraId="2BF59975">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城市道路、建筑、室外场地、公共绿地相互之间应设置连贯的无障碍步行系统，并应满足下列要求：</w:t>
      </w:r>
    </w:p>
    <w:p w14:paraId="28DF2A9A">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场地范围内的人行通道应与城市道路、场地内道路、建筑主要出入口、场地内的公共绿地和公共空间等相连通并连续，其路线应保证轮椅无障碍通行要求，当场地存在高差时，应以无障碍坡道相连接；</w:t>
      </w:r>
    </w:p>
    <w:p w14:paraId="1E17AE8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场地中的缘石坡道、无障碍出入口、轮椅坡道、无障碍通道、台阶、扶手等应满足现行国家标准《无障碍设计规范》GB 50763的要求；</w:t>
      </w:r>
    </w:p>
    <w:p w14:paraId="511743EC">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应合理设置通用的无障碍标志和信息系统。</w:t>
      </w:r>
    </w:p>
    <w:p w14:paraId="15CCE588">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住区宜形成“15分钟生活圈内4公里绿道覆盖”网络，即住区15分钟生活圈内绿道总长度宜≥4km</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其中新建住区社区绿道宜≥1.0km/万人、老城区改建住区社区绿道宜≥0.8km/万人，</w:t>
      </w:r>
      <w:r>
        <w:rPr>
          <w:rFonts w:hint="eastAsia" w:ascii="Times New Roman" w:hAnsi="Times New Roman" w:eastAsia="仿宋" w:cs="Times New Roman"/>
          <w:b w:val="0"/>
          <w:bCs w:val="0"/>
          <w:color w:val="auto"/>
          <w:sz w:val="28"/>
          <w:szCs w:val="28"/>
          <w:highlight w:val="none"/>
          <w:lang w:val="en-US" w:eastAsia="zh-CN"/>
        </w:rPr>
        <w:t>提升</w:t>
      </w:r>
      <w:r>
        <w:rPr>
          <w:rFonts w:hint="default" w:ascii="Times New Roman" w:hAnsi="Times New Roman" w:eastAsia="仿宋" w:cs="Times New Roman"/>
          <w:b w:val="0"/>
          <w:bCs w:val="0"/>
          <w:color w:val="auto"/>
          <w:sz w:val="28"/>
          <w:szCs w:val="28"/>
          <w:highlight w:val="none"/>
          <w:lang w:val="en-US" w:eastAsia="zh-CN"/>
        </w:rPr>
        <w:t>与周边公园绿地、公共活动场地、各类公共服务设施的联系性与可达性。</w:t>
      </w:r>
    </w:p>
    <w:p w14:paraId="0D5A6E61">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配套设施应按居住区分级配置标准统筹建设，并应按照《完整居住社区建设指南》，结合公共空间集中构建完善的基本公共服务设施、健全的便民商业服务设施、完备的市政配套基础设施、充足的公共活动场地、全覆盖的物业管理、健全的社区管理机制。</w:t>
      </w:r>
    </w:p>
    <w:p w14:paraId="5FBBE821">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住区应构建完善的基本公共服务设施：</w:t>
      </w:r>
    </w:p>
    <w:p w14:paraId="48021407">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住区应配套社区综合服务站，建筑面积以800㎡为宜，设置社区服务大厅、警务室、社区居委会、活动用房、阅览室、党群活动中心等。</w:t>
      </w:r>
    </w:p>
    <w:p w14:paraId="35CA1F4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住区应保障义务教育资源的衔接，15分钟生活圈范围内应有初中，5</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10分钟生活圈范围内应</w:t>
      </w:r>
      <w:r>
        <w:rPr>
          <w:rFonts w:hint="eastAsia" w:ascii="Times New Roman" w:hAnsi="Times New Roman" w:eastAsia="仿宋" w:cs="Times New Roman"/>
          <w:b w:val="0"/>
          <w:bCs w:val="0"/>
          <w:color w:val="auto"/>
          <w:sz w:val="28"/>
          <w:szCs w:val="28"/>
          <w:highlight w:val="none"/>
          <w:lang w:val="en-US" w:eastAsia="zh-CN"/>
        </w:rPr>
        <w:t>配置</w:t>
      </w:r>
      <w:r>
        <w:rPr>
          <w:rFonts w:hint="default" w:ascii="Times New Roman" w:hAnsi="Times New Roman" w:eastAsia="仿宋" w:cs="Times New Roman"/>
          <w:b w:val="0"/>
          <w:bCs w:val="0"/>
          <w:color w:val="auto"/>
          <w:sz w:val="28"/>
          <w:szCs w:val="28"/>
          <w:highlight w:val="none"/>
          <w:lang w:val="en-US" w:eastAsia="zh-CN"/>
        </w:rPr>
        <w:t>小学、幼儿园的教育设施。住区宜结合社区综合服务站、社区卫生服务站、住宅建筑、企事业单位办公楼等建设托儿所等婴幼儿照护设施，建筑面积不小于200㎡，方便双职工家庭获得托幼服务。</w:t>
      </w:r>
    </w:p>
    <w:p w14:paraId="73639BF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住区15分钟生活圈至少有一处社区级医疗机构，社区为老服务站、医疗机构宜靠近大型医院，方便民众就医，社区卫生服务站建筑面积不小于120㎡；社区为老服务站建筑面积不小于350㎡。</w:t>
      </w:r>
    </w:p>
    <w:p w14:paraId="5926E1CC">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highlight w:val="none"/>
          <w:lang w:val="en-US" w:eastAsia="zh-CN"/>
        </w:rPr>
        <w:t xml:space="preserve">4 </w:t>
      </w:r>
      <w:r>
        <w:rPr>
          <w:rFonts w:hint="default" w:ascii="Times New Roman" w:hAnsi="Times New Roman" w:eastAsia="仿宋" w:cs="Times New Roman"/>
          <w:b w:val="0"/>
          <w:bCs w:val="0"/>
          <w:color w:val="auto"/>
          <w:sz w:val="28"/>
          <w:szCs w:val="28"/>
          <w:lang w:val="en-US" w:eastAsia="zh-CN"/>
        </w:rPr>
        <w:t>住区应注重社区文化活动开展，住区15分钟生活圈范围内宜有文化活动中心，5</w:t>
      </w:r>
      <w:r>
        <w:rPr>
          <w:rFonts w:hint="eastAsia" w:ascii="Times New Roman" w:hAnsi="Times New Roman" w:eastAsia="仿宋" w:cs="Times New Roman"/>
          <w:b w:val="0"/>
          <w:bCs w:val="0"/>
          <w:color w:val="auto"/>
          <w:sz w:val="28"/>
          <w:szCs w:val="28"/>
          <w:lang w:val="en-US" w:eastAsia="zh-CN"/>
        </w:rPr>
        <w:t>～</w:t>
      </w:r>
      <w:r>
        <w:rPr>
          <w:rFonts w:hint="default" w:ascii="Times New Roman" w:hAnsi="Times New Roman" w:eastAsia="仿宋" w:cs="Times New Roman"/>
          <w:b w:val="0"/>
          <w:bCs w:val="0"/>
          <w:color w:val="auto"/>
          <w:sz w:val="28"/>
          <w:szCs w:val="28"/>
          <w:lang w:val="en-US" w:eastAsia="zh-CN"/>
        </w:rPr>
        <w:t>10分钟生活圈范围内宜有社区文化活动站或文化展示空间，街道综合文化站建筑面积不少于300㎡，提供体育赛事、传统节庆、志愿服务、文化活动、展览、书画棋牌等功能。</w:t>
      </w:r>
    </w:p>
    <w:p w14:paraId="04E50EB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lang w:val="en-US" w:eastAsia="zh-CN"/>
        </w:rPr>
        <w:t>5 鼓励住区打造主客共享公共空间，按相关行业标准完善路内外公共停车场、公共厕所等配套设施，加强日常管理维护。</w:t>
      </w:r>
    </w:p>
    <w:p w14:paraId="647610B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drawing>
          <wp:inline distT="0" distB="0" distL="0" distR="0">
            <wp:extent cx="4074795" cy="2289810"/>
            <wp:effectExtent l="0" t="0" r="1905"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74795" cy="2289810"/>
                    </a:xfrm>
                    <a:prstGeom prst="rect">
                      <a:avLst/>
                    </a:prstGeom>
                    <a:noFill/>
                  </pic:spPr>
                </pic:pic>
              </a:graphicData>
            </a:graphic>
          </wp:inline>
        </w:drawing>
      </w:r>
    </w:p>
    <w:p w14:paraId="58735943">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图2-</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 xml:space="preserve"> 集中用地、统一开发的复合居住社区中心模式示意图</w:t>
      </w:r>
    </w:p>
    <w:p w14:paraId="58A52DE8">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住区应有配套健全的便民商业服务设施，住区10分钟生活圈内应有菜市场、宜有生鲜超市、商场等商业服务业设施与便民商业网点，鼓励在5分钟生活圈内配置社区生活服务站、社区食堂等公共服务场所。</w:t>
      </w:r>
    </w:p>
    <w:p w14:paraId="20135FAA">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住区应建设充足的公共活动场地，5</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10分钟生活圈范围内应有中小型多功能运动场地，15分钟生活圈范围内宜有大型多功能运动场地或社区市民健身中心。住区周边若有口袋公园、社区绿道等空间，鼓励在适当区域配置健身运动场地与设施，方便居民锻炼身体。</w:t>
      </w:r>
    </w:p>
    <w:p w14:paraId="54313885">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各类住区均应根据地区特点、人群诉求等逐步补齐社区公共服务设施短板。既有社区鼓励结合拆除腾退用地、闲置低效用地等可利用空间资源，补全服务设施。新建住区鼓励优先建设功能复合集成的社区服务中心。</w:t>
      </w:r>
    </w:p>
    <w:p w14:paraId="2E65CA8F">
      <w:pPr>
        <w:numPr>
          <w:ilvl w:val="0"/>
          <w:numId w:val="0"/>
        </w:numPr>
        <w:tabs>
          <w:tab w:val="left" w:pos="420"/>
        </w:tabs>
        <w:ind w:leftChars="200"/>
        <w:jc w:val="center"/>
        <w:outlineLvl w:val="9"/>
        <w:rPr>
          <w:rFonts w:hint="default" w:ascii="Times New Roman" w:hAnsi="Times New Roman" w:cs="Times New Roman"/>
          <w:bCs/>
          <w:color w:val="auto"/>
          <w:sz w:val="18"/>
          <w:szCs w:val="21"/>
          <w:highlight w:val="none"/>
        </w:rPr>
      </w:pPr>
      <w:r>
        <w:rPr>
          <w:rFonts w:hint="default" w:ascii="Times New Roman" w:hAnsi="Times New Roman" w:cs="Times New Roman"/>
          <w:bCs/>
          <w:color w:val="auto"/>
          <w:sz w:val="18"/>
          <w:szCs w:val="21"/>
          <w:highlight w:val="none"/>
        </w:rPr>
        <w:drawing>
          <wp:inline distT="0" distB="0" distL="0" distR="0">
            <wp:extent cx="4305935" cy="2425700"/>
            <wp:effectExtent l="0" t="0" r="18415"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05935" cy="2425700"/>
                    </a:xfrm>
                    <a:prstGeom prst="rect">
                      <a:avLst/>
                    </a:prstGeom>
                    <a:noFill/>
                  </pic:spPr>
                </pic:pic>
              </a:graphicData>
            </a:graphic>
          </wp:inline>
        </w:drawing>
      </w:r>
    </w:p>
    <w:p w14:paraId="0D6E0144">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highlight w:val="none"/>
        </w:rPr>
      </w:pPr>
      <w:r>
        <w:rPr>
          <w:rFonts w:hint="default" w:ascii="Times New Roman" w:hAnsi="Times New Roman" w:eastAsia="仿宋" w:cs="Times New Roman"/>
          <w:b w:val="0"/>
          <w:bCs w:val="0"/>
          <w:color w:val="auto"/>
          <w:sz w:val="28"/>
          <w:szCs w:val="28"/>
          <w:highlight w:val="none"/>
        </w:rPr>
        <w:t>图2-</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rPr>
        <w:t xml:space="preserve"> 住区配套设施示意图</w:t>
      </w:r>
    </w:p>
    <w:p w14:paraId="1FCC4BCF">
      <w:pPr>
        <w:numPr>
          <w:ilvl w:val="2"/>
          <w:numId w:val="4"/>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具有生态景观良好的外部环境，应考虑周边建筑退界与规划绿地的景观环境效果，临近公园、广场、绿地等区域，实现居民出行300m见绿、500m见园。新建住区配套公共绿地应满足《城市居住区规划设计标准》GB50180及遂宁城市规划管理技术规定要求，老城区改建住区人均公共绿地面积不应低于相应控制指标的70%。</w:t>
      </w:r>
    </w:p>
    <w:p w14:paraId="3CE778FE">
      <w:pPr>
        <w:numPr>
          <w:ilvl w:val="0"/>
          <w:numId w:val="0"/>
        </w:numPr>
        <w:tabs>
          <w:tab w:val="left" w:pos="420"/>
        </w:tabs>
        <w:ind w:leftChars="20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209415" cy="2371725"/>
            <wp:effectExtent l="0" t="0" r="63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09415" cy="2371725"/>
                    </a:xfrm>
                    <a:prstGeom prst="rect">
                      <a:avLst/>
                    </a:prstGeom>
                    <a:noFill/>
                  </pic:spPr>
                </pic:pic>
              </a:graphicData>
            </a:graphic>
          </wp:inline>
        </w:drawing>
      </w:r>
    </w:p>
    <w:p w14:paraId="1762D903">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highlight w:val="none"/>
        </w:rPr>
      </w:pPr>
      <w:r>
        <w:rPr>
          <w:rFonts w:hint="default" w:ascii="Times New Roman" w:hAnsi="Times New Roman" w:eastAsia="仿宋" w:cs="Times New Roman"/>
          <w:b w:val="0"/>
          <w:bCs w:val="0"/>
          <w:color w:val="auto"/>
          <w:sz w:val="28"/>
          <w:szCs w:val="28"/>
          <w:highlight w:val="none"/>
        </w:rPr>
        <w:t>图2-</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5</w:t>
      </w:r>
      <w:r>
        <w:rPr>
          <w:rFonts w:hint="default" w:ascii="Times New Roman" w:hAnsi="Times New Roman" w:eastAsia="仿宋" w:cs="Times New Roman"/>
          <w:b w:val="0"/>
          <w:bCs w:val="0"/>
          <w:color w:val="auto"/>
          <w:sz w:val="28"/>
          <w:szCs w:val="28"/>
          <w:highlight w:val="none"/>
        </w:rPr>
        <w:t xml:space="preserve"> 住区环境示意图</w:t>
      </w:r>
    </w:p>
    <w:p w14:paraId="61D13295">
      <w:pPr>
        <w:numPr>
          <w:ilvl w:val="2"/>
          <w:numId w:val="4"/>
        </w:numPr>
        <w:tabs>
          <w:tab w:val="left" w:pos="420"/>
        </w:tabs>
        <w:ind w:firstLine="560" w:firstLineChars="200"/>
        <w:outlineLvl w:val="2"/>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住区应统筹社区绿地空间提升住区外环境品质</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新建住区周边宜利用道路绿化、绿廊等连通社区公园与市政公园。更新类社区鼓励通过道路和金角银边绿地空间改造</w:t>
      </w:r>
      <w:r>
        <w:rPr>
          <w:rFonts w:hint="default" w:ascii="Times New Roman" w:hAnsi="Times New Roman" w:eastAsia="仿宋"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lang w:val="en-US" w:eastAsia="zh-CN"/>
        </w:rPr>
        <w:t>加强</w:t>
      </w:r>
      <w:r>
        <w:rPr>
          <w:rFonts w:hint="default" w:ascii="Times New Roman" w:hAnsi="Times New Roman" w:eastAsia="仿宋" w:cs="Times New Roman"/>
          <w:color w:val="auto"/>
          <w:sz w:val="28"/>
          <w:szCs w:val="28"/>
          <w:highlight w:val="none"/>
        </w:rPr>
        <w:t>绿化联系。</w:t>
      </w:r>
    </w:p>
    <w:p w14:paraId="3B0FA9D0">
      <w:pPr>
        <w:numPr>
          <w:ilvl w:val="2"/>
          <w:numId w:val="4"/>
        </w:numPr>
        <w:tabs>
          <w:tab w:val="left" w:pos="420"/>
        </w:tabs>
        <w:ind w:firstLine="560" w:firstLineChars="200"/>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color w:val="auto"/>
          <w:sz w:val="28"/>
          <w:szCs w:val="28"/>
          <w:highlight w:val="none"/>
        </w:rPr>
        <w:t>住区外部环境营造应紧密结合遂宁亚热带湿润季风气候特征</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重点考虑夏热冬暖、雨热同期的气候特点</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特别关注冬季偏北风（频率约18%）、夏季东南风（频率约25%）及过渡季多变的局地风环境</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以及地形变化而产生的地方风。避免周边上风向空气污染、场地内“旋涡风”等不安全因素</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形成优质社区微风环境。</w:t>
      </w:r>
    </w:p>
    <w:p w14:paraId="37E01DA6">
      <w:pPr>
        <w:numPr>
          <w:ilvl w:val="1"/>
          <w:numId w:val="3"/>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8" w:name="_Toc19216"/>
      <w:r>
        <w:rPr>
          <w:rFonts w:hint="default" w:ascii="Times New Roman" w:hAnsi="Times New Roman" w:eastAsia="黑体" w:cs="Times New Roman"/>
          <w:b/>
          <w:bCs/>
          <w:color w:val="auto"/>
          <w:sz w:val="28"/>
          <w:szCs w:val="28"/>
          <w:highlight w:val="none"/>
          <w:lang w:val="en-US" w:eastAsia="zh-CN"/>
        </w:rPr>
        <w:t>内部环境</w:t>
      </w:r>
      <w:bookmarkEnd w:id="8"/>
    </w:p>
    <w:p w14:paraId="74487965">
      <w:pPr>
        <w:numPr>
          <w:ilvl w:val="2"/>
          <w:numId w:val="5"/>
        </w:numPr>
        <w:ind w:firstLine="560" w:firstLineChars="200"/>
        <w:outlineLvl w:val="2"/>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rPr>
        <w:t>住区规划与建设应遵循因地制宜的原则</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综合考虑遂宁市地域气候、资源、生态环境、经济、人文等因素。住区应与周边建筑、自然环境、交通体</w:t>
      </w:r>
      <w:r>
        <w:rPr>
          <w:rFonts w:hint="default" w:ascii="Times New Roman" w:hAnsi="Times New Roman" w:eastAsia="仿宋" w:cs="Times New Roman"/>
          <w:color w:val="auto"/>
          <w:sz w:val="28"/>
          <w:szCs w:val="28"/>
          <w:highlight w:val="none"/>
          <w:u w:val="none"/>
        </w:rPr>
        <w:t>系相结合</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体现城镇风貌和文化特色</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形成较强的地域特征。</w:t>
      </w:r>
    </w:p>
    <w:p w14:paraId="58E3268E">
      <w:pPr>
        <w:numPr>
          <w:ilvl w:val="2"/>
          <w:numId w:val="5"/>
        </w:numPr>
        <w:ind w:firstLine="560" w:firstLineChars="200"/>
        <w:outlineLvl w:val="2"/>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住区规划应符合上位规划、城市设计与遂宁市城市规划管理技术规定的要求：</w:t>
      </w:r>
    </w:p>
    <w:p w14:paraId="37ED06D1">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1 应按照住区规模合理确定规划分级</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保持合理的用地平衡；</w:t>
      </w:r>
    </w:p>
    <w:p w14:paraId="0FDF33FF">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2 应满足城市</w:t>
      </w:r>
      <w:r>
        <w:rPr>
          <w:rFonts w:hint="eastAsia" w:ascii="Times New Roman" w:hAnsi="Times New Roman" w:eastAsia="仿宋" w:cs="Times New Roman"/>
          <w:color w:val="auto"/>
          <w:sz w:val="28"/>
          <w:szCs w:val="28"/>
          <w:highlight w:val="none"/>
          <w:u w:val="none"/>
          <w:lang w:val="en-US" w:eastAsia="zh-CN"/>
        </w:rPr>
        <w:t>蓝</w:t>
      </w:r>
      <w:r>
        <w:rPr>
          <w:rFonts w:hint="default" w:ascii="Times New Roman" w:hAnsi="Times New Roman" w:eastAsia="仿宋" w:cs="Times New Roman"/>
          <w:color w:val="auto"/>
          <w:sz w:val="28"/>
          <w:szCs w:val="28"/>
          <w:highlight w:val="none"/>
          <w:u w:val="none"/>
        </w:rPr>
        <w:t>线、视距、廊道控制要求。建筑群体高度和轮廓应错落有致</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与周边既有和规划中的建筑呼应协调</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符合区域整体形象。</w:t>
      </w:r>
    </w:p>
    <w:p w14:paraId="3DBE72EB">
      <w:pPr>
        <w:numPr>
          <w:ilvl w:val="2"/>
          <w:numId w:val="5"/>
        </w:numPr>
        <w:ind w:firstLine="560" w:firstLineChars="200"/>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color w:val="auto"/>
          <w:sz w:val="28"/>
          <w:szCs w:val="28"/>
          <w:highlight w:val="none"/>
        </w:rPr>
        <w:t>住区应融入片区公园绿地建设</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鼓励将周边生态资源与住区功能形态合理匹配</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临近公园绿地、城市广场、河流水体、山地景观、干道侧的住区建筑宜采用梯次递进等的布局方式</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统筹考虑建筑退界与</w:t>
      </w:r>
      <w:r>
        <w:rPr>
          <w:rFonts w:hint="eastAsia" w:ascii="Times New Roman" w:hAnsi="Times New Roman" w:eastAsia="仿宋" w:cs="Times New Roman"/>
          <w:color w:val="auto"/>
          <w:sz w:val="28"/>
          <w:szCs w:val="28"/>
          <w:highlight w:val="none"/>
          <w:lang w:val="en-US" w:eastAsia="zh-CN"/>
        </w:rPr>
        <w:t>敞开</w:t>
      </w:r>
      <w:r>
        <w:rPr>
          <w:rFonts w:hint="default" w:ascii="Times New Roman" w:hAnsi="Times New Roman" w:eastAsia="仿宋" w:cs="Times New Roman"/>
          <w:color w:val="auto"/>
          <w:sz w:val="28"/>
          <w:szCs w:val="28"/>
          <w:highlight w:val="none"/>
        </w:rPr>
        <w:t>空间的景观环境效果。</w:t>
      </w:r>
    </w:p>
    <w:p w14:paraId="6C9A9A1C">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住区应通过合理的组团空间布局营造清晰的内部空间层次与序列：</w:t>
      </w:r>
    </w:p>
    <w:p w14:paraId="09A7DFE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内部空间应通透美观，创造宜人的空间尺度、形成美观的形态界面；</w:t>
      </w:r>
    </w:p>
    <w:p w14:paraId="43D333B0">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内部空间应舒适安全，充分适应地域气候特征、顺应低密趋势充实居民户外活动场景、保障“公共</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半公共</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私密”共存的空间层次、通过塑造空间领域感促进邻里交往。</w:t>
      </w:r>
    </w:p>
    <w:p w14:paraId="082402B5">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u w:val="none"/>
          <w:lang w:val="en-US" w:eastAsia="zh-CN"/>
        </w:rPr>
      </w:pPr>
      <w:r>
        <w:rPr>
          <w:rFonts w:hint="default" w:ascii="Times New Roman" w:hAnsi="Times New Roman" w:eastAsia="仿宋" w:cs="Times New Roman"/>
          <w:color w:val="auto"/>
          <w:sz w:val="28"/>
          <w:szCs w:val="28"/>
          <w:highlight w:val="none"/>
          <w:u w:val="none"/>
        </w:rPr>
        <w:t>住区建设强度应满足《城市居住区规划设计标准》GB 50180中关于各级生活圈住区用地的指标控制要求。建筑高度应与消防救援能力相匹配</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城镇新建住宅高度不应大于80m</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县城新建住宅最高不宜超过18层</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确需建设18层以上的</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应通过日照模拟、交通影响评价等专项充分论证</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并确保消防应急、市政配套设施等建设到位。新城片区住区用地容积率不宜大于2.5</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老城核心区容积率可适当放宽至2.8</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详细规划、技术规定等确定的城市高强度开发地区容积率不应大于3.0。</w:t>
      </w:r>
    </w:p>
    <w:p w14:paraId="79982961">
      <w:pPr>
        <w:numPr>
          <w:ilvl w:val="2"/>
          <w:numId w:val="5"/>
        </w:numPr>
        <w:ind w:firstLine="560" w:firstLineChars="200"/>
        <w:outlineLvl w:val="2"/>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住区应合理控制住区内建筑密度</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控制楼间距</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保障满足日照要求的集中绿地：</w:t>
      </w:r>
    </w:p>
    <w:p w14:paraId="47CAD8DD">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1</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集中绿地应满足宽度不小于8</w:t>
      </w:r>
      <w:r>
        <w:rPr>
          <w:rFonts w:hint="default" w:ascii="Times New Roman" w:hAnsi="Times New Roman" w:eastAsia="仿宋" w:cs="Times New Roman"/>
          <w:color w:val="auto"/>
          <w:sz w:val="28"/>
          <w:szCs w:val="28"/>
          <w:highlight w:val="none"/>
          <w:u w:val="none"/>
          <w:lang w:val="en-US" w:eastAsia="zh-CN"/>
        </w:rPr>
        <w:t>.0</w:t>
      </w:r>
      <w:r>
        <w:rPr>
          <w:rFonts w:hint="default" w:ascii="Times New Roman" w:hAnsi="Times New Roman" w:eastAsia="仿宋" w:cs="Times New Roman"/>
          <w:color w:val="auto"/>
          <w:sz w:val="28"/>
          <w:szCs w:val="28"/>
          <w:highlight w:val="none"/>
          <w:u w:val="none"/>
        </w:rPr>
        <w:t>m</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面积不小于400㎡</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并应有不少于1/3的绿地面积在标准的建筑日照阴影线范围外；</w:t>
      </w:r>
    </w:p>
    <w:p w14:paraId="40AE1FCE">
      <w:pPr>
        <w:tabs>
          <w:tab w:val="left" w:pos="420"/>
        </w:tabs>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2</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集中绿地中应设置健身运动场地、老年人和儿童活动等全龄化活动场地；</w:t>
      </w:r>
    </w:p>
    <w:p w14:paraId="176DD567">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新建住区人均集中绿地不宜低于0.6m²/人，老城区改建住区人均集中绿地不宜低于0.45m²/人。</w:t>
      </w:r>
    </w:p>
    <w:p w14:paraId="416AE95E">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布局应综合考虑朝向、视野与气候条件，鼓励以更好的日照条件提高人居品质。每套住宅应至少有一个居住空间能获得冬季日照。日照标准应按现行国家标准《城市居住区规划设计标准》GB50180规定的住宅建筑日照标准并结合遂宁城市规划管理技术规定进行控制。套型内居室数量不少于4个时，宜有不少于2个居住空间满足日照标准的要求。</w:t>
      </w:r>
    </w:p>
    <w:p w14:paraId="0D1E4C71">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住区应完善特殊车辆动线设计，满足消防疏散要求</w:t>
      </w:r>
      <w:r>
        <w:rPr>
          <w:rFonts w:hint="eastAsia" w:ascii="Times New Roman" w:hAnsi="Times New Roman" w:eastAsia="仿宋" w:cs="Times New Roman"/>
          <w:b w:val="0"/>
          <w:bCs w:val="0"/>
          <w:color w:val="auto"/>
          <w:sz w:val="28"/>
          <w:szCs w:val="28"/>
          <w:highlight w:val="none"/>
          <w:lang w:val="en-US" w:eastAsia="zh-CN"/>
        </w:rPr>
        <w:t>：</w:t>
      </w:r>
    </w:p>
    <w:p w14:paraId="19138CE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消防车、救护车等应急车辆通道应保持24小时畅通，车道宽度不小于4.0m，净高不低于4.0m。</w:t>
      </w:r>
    </w:p>
    <w:p w14:paraId="4F1A133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快递车、垃圾清运车等服务车辆动线应避开主要人行流线，设置专用装卸区域。</w:t>
      </w:r>
    </w:p>
    <w:p w14:paraId="0102B5C9">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住区机动车停车场布局应方便使用和管理，除应符合国家现行标准外，还应符合下列规定：</w:t>
      </w:r>
    </w:p>
    <w:p w14:paraId="55DE075E">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车位配比应符合遂宁城市规划管理技术规定要求。机动车停车库应优先利用地下空间集中设置，应明确划分停车区、行车道、疏散通道等功能区，充电设施、电缆等的布置不应影响疏散通道、安全出入口的净宽和出入。</w:t>
      </w:r>
    </w:p>
    <w:p w14:paraId="72ED427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住区出入口附近宜设置出租车、网约车等公共车辆临时停靠泊位及共享单车停放区域；</w:t>
      </w:r>
    </w:p>
    <w:p w14:paraId="47179BA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无障碍机动车停车位应设在便于出入、靠近单元口、地下靠近垂直交通的位置，应设宽度不小于1.2m的轮椅通道，并设置明显的标识；</w:t>
      </w:r>
    </w:p>
    <w:p w14:paraId="4D1BB26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新建住区应按100%车位预留充电设施安装条件。新建汽车库内配建的分散充电设施在同防火分区内应集中布置，应独立设置防火单元，每个防火单元的最大允许建筑面积按1000㎡划分，并配备火灾自动报警系统、排烟设施、自动喷水灭火系统、消防应急照明和疏散指示系统等消防设施。</w:t>
      </w:r>
    </w:p>
    <w:p w14:paraId="10C8C0C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5 地下车库出入口宜设置隐藏式挡水板，</w:t>
      </w:r>
      <w:r>
        <w:rPr>
          <w:rFonts w:hint="eastAsia" w:ascii="Times New Roman" w:hAnsi="Times New Roman" w:eastAsia="仿宋" w:cs="Times New Roman"/>
          <w:b w:val="0"/>
          <w:bCs w:val="0"/>
          <w:color w:val="auto"/>
          <w:sz w:val="28"/>
          <w:szCs w:val="28"/>
          <w:highlight w:val="none"/>
          <w:lang w:val="en-US" w:eastAsia="zh-CN"/>
        </w:rPr>
        <w:t>以</w:t>
      </w:r>
      <w:r>
        <w:rPr>
          <w:rFonts w:hint="default" w:ascii="Times New Roman" w:hAnsi="Times New Roman" w:eastAsia="仿宋" w:cs="Times New Roman"/>
          <w:b w:val="0"/>
          <w:bCs w:val="0"/>
          <w:color w:val="auto"/>
          <w:sz w:val="28"/>
          <w:szCs w:val="28"/>
          <w:highlight w:val="none"/>
          <w:lang w:val="en-US" w:eastAsia="zh-CN"/>
        </w:rPr>
        <w:t>应对雨季暴雨导致的雨水倒灌。</w:t>
      </w:r>
    </w:p>
    <w:p w14:paraId="021A3CC8">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住区非机动车停车场所位置应方便使用、方便管理、满足消防安全，并应符合下列规定：</w:t>
      </w:r>
    </w:p>
    <w:p w14:paraId="7EC85CE3">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非机动车与附建式电动自行车停车位宜设在地上或地下一层。住区内非机动车存放位置出入口距住区主要出入口距离不宜大于100m；</w:t>
      </w:r>
    </w:p>
    <w:p w14:paraId="1D89B69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地上独立式电动自行车停车场边界与建筑物外墙门、窗、洞口等开口部位，以及安全出口之间最近边缘的间距不应小于6.0m；当建筑外墙保温或装饰材料燃烧性能等级低于A级时，电动自行车停车场边界与建筑物外墙之间最近边缘的间距不应小于6.0m；</w:t>
      </w:r>
    </w:p>
    <w:p w14:paraId="63484B3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当附建式电动自行车停车库设置在架空层时</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停车库与架空层其他功能区应采用防火墙进行防火分隔，且面向室外的架空层区域不应封闭，以满足通风排烟需要；当设置在地下一层时，停车层地坪与室外地坪的高差不应大于7.0m；</w:t>
      </w:r>
    </w:p>
    <w:p w14:paraId="094CFEA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电动自行车充电设施宜在电动自行车停放场所内集中设置，并应设置消火栓、排烟设施、自动喷水灭火系统、火灾自动报警系统等强化消防安全的</w:t>
      </w:r>
      <w:r>
        <w:rPr>
          <w:rFonts w:hint="eastAsia" w:ascii="Times New Roman" w:hAnsi="Times New Roman" w:eastAsia="仿宋" w:cs="Times New Roman"/>
          <w:b w:val="0"/>
          <w:bCs w:val="0"/>
          <w:color w:val="auto"/>
          <w:sz w:val="28"/>
          <w:szCs w:val="28"/>
          <w:highlight w:val="none"/>
          <w:lang w:val="en-US" w:eastAsia="zh-CN"/>
        </w:rPr>
        <w:t>设施</w:t>
      </w:r>
      <w:r>
        <w:rPr>
          <w:rFonts w:hint="default" w:ascii="Times New Roman" w:hAnsi="Times New Roman" w:eastAsia="仿宋" w:cs="Times New Roman"/>
          <w:b w:val="0"/>
          <w:bCs w:val="0"/>
          <w:color w:val="auto"/>
          <w:sz w:val="28"/>
          <w:szCs w:val="28"/>
          <w:highlight w:val="none"/>
          <w:lang w:val="en-US" w:eastAsia="zh-CN"/>
        </w:rPr>
        <w:t>，并满足《四川省住宅</w:t>
      </w:r>
      <w:r>
        <w:rPr>
          <w:rFonts w:hint="eastAsia" w:ascii="Times New Roman" w:hAnsi="Times New Roman" w:eastAsia="仿宋" w:cs="Times New Roman"/>
          <w:b w:val="0"/>
          <w:bCs w:val="0"/>
          <w:color w:val="auto"/>
          <w:sz w:val="28"/>
          <w:szCs w:val="28"/>
          <w:highlight w:val="none"/>
          <w:lang w:val="en-US" w:eastAsia="zh-CN"/>
        </w:rPr>
        <w:t>小</w:t>
      </w:r>
      <w:bookmarkStart w:id="39" w:name="_GoBack"/>
      <w:bookmarkEnd w:id="39"/>
      <w:r>
        <w:rPr>
          <w:rFonts w:hint="default" w:ascii="Times New Roman" w:hAnsi="Times New Roman" w:eastAsia="仿宋" w:cs="Times New Roman"/>
          <w:b w:val="0"/>
          <w:bCs w:val="0"/>
          <w:color w:val="auto"/>
          <w:sz w:val="28"/>
          <w:szCs w:val="28"/>
          <w:highlight w:val="none"/>
          <w:lang w:val="en-US" w:eastAsia="zh-CN"/>
        </w:rPr>
        <w:t>区电动自行车停放场所消防技术导则（试行）》的有关规定。</w:t>
      </w:r>
    </w:p>
    <w:p w14:paraId="58F822CC">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住区应合理打造出入口、住区大堂、单元门厅、候梯厅、地下车库的多层级公共空间体系，提升住户归家动线的仪式感、安全感和体验感</w:t>
      </w:r>
      <w:r>
        <w:rPr>
          <w:rFonts w:hint="eastAsia" w:ascii="Times New Roman" w:hAnsi="Times New Roman" w:eastAsia="仿宋" w:cs="Times New Roman"/>
          <w:b w:val="0"/>
          <w:bCs w:val="0"/>
          <w:color w:val="auto"/>
          <w:sz w:val="28"/>
          <w:szCs w:val="28"/>
          <w:highlight w:val="none"/>
          <w:lang w:val="en-US" w:eastAsia="zh-CN"/>
        </w:rPr>
        <w:t>：</w:t>
      </w:r>
    </w:p>
    <w:p w14:paraId="4391B12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住区主出入口应提升住户舒居体验，宜结合住区大堂设置酒店式落客区、公共交往空间及配套服务设施；</w:t>
      </w:r>
    </w:p>
    <w:p w14:paraId="08B64740">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住区出入口应采取措施避免流线交叉，宜设功能性次出入口，设置访客车位、快递车位、智能快递存放区域等，避免影响主要人员、车行出入口，避免与主要流线交叉。</w:t>
      </w:r>
    </w:p>
    <w:p w14:paraId="112B6806">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 xml:space="preserve">3 </w:t>
      </w:r>
      <w:r>
        <w:rPr>
          <w:rFonts w:hint="default" w:ascii="Times New Roman" w:hAnsi="Times New Roman" w:eastAsia="仿宋" w:cs="Times New Roman"/>
          <w:color w:val="auto"/>
          <w:sz w:val="28"/>
          <w:szCs w:val="28"/>
          <w:highlight w:val="none"/>
        </w:rPr>
        <w:t>住区出入口应统筹考虑居民交通便利出行</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住区地库的坡道地上出口与室外道路垂直相接时</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从坡道起坡点到内部道路边线应设不小于5.5m的缓冲空间</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从坡道起坡点到城市道路红线应设不小于7.5m的缓冲空间</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且应有良好的通视条件。</w:t>
      </w:r>
    </w:p>
    <w:p w14:paraId="3D61210D">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住区应注重架空层空间的一体化打造。住区宜将空间开敞、无围护结构的架空层作为休闲、健身、娱乐、学习、绿化等公共空间使用，但不宜作为停车或车行交通空间使用。架空层层高不宜低于4.5m。</w:t>
      </w:r>
    </w:p>
    <w:p w14:paraId="2ED58E20">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住区应完善配套设施，满足居民多样化生活需求，打造功能复合、智慧管理、全龄友好、绿色低碳的高品质宜居社区</w:t>
      </w:r>
      <w:r>
        <w:rPr>
          <w:rFonts w:hint="eastAsia" w:ascii="Times New Roman" w:hAnsi="Times New Roman" w:eastAsia="仿宋" w:cs="Times New Roman"/>
          <w:b w:val="0"/>
          <w:bCs w:val="0"/>
          <w:color w:val="auto"/>
          <w:sz w:val="28"/>
          <w:szCs w:val="28"/>
          <w:highlight w:val="none"/>
          <w:lang w:val="en-US" w:eastAsia="zh-CN"/>
        </w:rPr>
        <w:t>：</w:t>
      </w:r>
    </w:p>
    <w:p w14:paraId="2CC92EE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融合设计商业、文化、健身设施，提高空间利用率；</w:t>
      </w:r>
    </w:p>
    <w:p w14:paraId="7219931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引入智能垃圾处理、数字化社区服务，提升运维效率；</w:t>
      </w:r>
    </w:p>
    <w:p w14:paraId="7DB5C09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设置从儿童游乐到老年健身器材，覆盖全年龄段需求；</w:t>
      </w:r>
    </w:p>
    <w:p w14:paraId="70D10F4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采用环保材料修建健身步道，垃圾房采用负压除臭，体现可持续发展理念。</w:t>
      </w:r>
    </w:p>
    <w:p w14:paraId="0F15F4DE">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新建住区应高标准配建物业管理用房、社区用房，满足物业服务、社区服务、老幼人群日常生活、健康服务需求，并应符合下表要求：</w:t>
      </w:r>
    </w:p>
    <w:p w14:paraId="7B31587F">
      <w:pPr>
        <w:spacing w:line="360" w:lineRule="auto"/>
        <w:jc w:val="center"/>
        <w:rPr>
          <w:rFonts w:hint="default" w:ascii="Times New Roman" w:hAnsi="Times New Roman" w:eastAsia="仿宋" w:cs="Times New Roman"/>
          <w:color w:val="auto"/>
          <w:sz w:val="28"/>
          <w:szCs w:val="28"/>
          <w:highlight w:val="none"/>
          <w:lang w:bidi="ar"/>
        </w:rPr>
      </w:pPr>
      <w:bookmarkStart w:id="9" w:name="OLE_LINK69"/>
      <w:bookmarkStart w:id="10" w:name="OLE_LINK68"/>
      <w:bookmarkStart w:id="11" w:name="OLE_LINK67"/>
      <w:r>
        <w:rPr>
          <w:rFonts w:hint="default" w:ascii="Times New Roman" w:hAnsi="Times New Roman" w:eastAsia="仿宋" w:cs="Times New Roman"/>
          <w:b/>
          <w:bCs/>
          <w:color w:val="auto"/>
          <w:sz w:val="28"/>
          <w:szCs w:val="28"/>
          <w:highlight w:val="none"/>
          <w:lang w:bidi="ar"/>
        </w:rPr>
        <w:t>表</w:t>
      </w:r>
      <w:r>
        <w:rPr>
          <w:rFonts w:hint="default" w:ascii="Times New Roman" w:hAnsi="Times New Roman" w:eastAsia="仿宋" w:cs="Times New Roman"/>
          <w:b/>
          <w:bCs/>
          <w:color w:val="auto"/>
          <w:sz w:val="28"/>
          <w:szCs w:val="28"/>
          <w:highlight w:val="none"/>
          <w:lang w:val="en-US" w:eastAsia="zh-CN" w:bidi="ar"/>
        </w:rPr>
        <w:t>2</w:t>
      </w:r>
      <w:r>
        <w:rPr>
          <w:rFonts w:hint="default" w:ascii="Times New Roman" w:hAnsi="Times New Roman" w:eastAsia="仿宋" w:cs="Times New Roman"/>
          <w:b/>
          <w:bCs/>
          <w:color w:val="auto"/>
          <w:sz w:val="28"/>
          <w:szCs w:val="28"/>
          <w:highlight w:val="none"/>
          <w:lang w:bidi="ar"/>
        </w:rPr>
        <w:t>.</w:t>
      </w:r>
      <w:r>
        <w:rPr>
          <w:rFonts w:hint="default" w:ascii="Times New Roman" w:hAnsi="Times New Roman" w:eastAsia="仿宋" w:cs="Times New Roman"/>
          <w:b/>
          <w:bCs/>
          <w:color w:val="auto"/>
          <w:sz w:val="28"/>
          <w:szCs w:val="28"/>
          <w:highlight w:val="none"/>
          <w:lang w:val="en-US" w:eastAsia="zh-CN" w:bidi="ar"/>
        </w:rPr>
        <w:t>2</w:t>
      </w:r>
      <w:r>
        <w:rPr>
          <w:rFonts w:hint="default" w:ascii="Times New Roman" w:hAnsi="Times New Roman" w:eastAsia="仿宋" w:cs="Times New Roman"/>
          <w:b/>
          <w:bCs/>
          <w:color w:val="auto"/>
          <w:sz w:val="28"/>
          <w:szCs w:val="28"/>
          <w:highlight w:val="none"/>
          <w:lang w:bidi="ar"/>
        </w:rPr>
        <w:t>.</w:t>
      </w:r>
      <w:r>
        <w:rPr>
          <w:rFonts w:hint="default" w:ascii="Times New Roman" w:hAnsi="Times New Roman" w:eastAsia="仿宋" w:cs="Times New Roman"/>
          <w:b/>
          <w:bCs/>
          <w:color w:val="auto"/>
          <w:sz w:val="28"/>
          <w:szCs w:val="28"/>
          <w:highlight w:val="none"/>
          <w:lang w:val="en-US" w:eastAsia="zh-CN" w:bidi="ar"/>
        </w:rPr>
        <w:t>1</w:t>
      </w:r>
      <w:r>
        <w:rPr>
          <w:rFonts w:hint="default" w:ascii="Times New Roman" w:hAnsi="Times New Roman" w:eastAsia="仿宋" w:cs="Times New Roman"/>
          <w:b/>
          <w:bCs/>
          <w:color w:val="auto"/>
          <w:sz w:val="28"/>
          <w:szCs w:val="28"/>
          <w:highlight w:val="none"/>
          <w:lang w:bidi="ar"/>
        </w:rPr>
        <w:t xml:space="preserve"> 住房基础配套设施配置一览表</w:t>
      </w:r>
    </w:p>
    <w:bookmarkEnd w:id="9"/>
    <w:bookmarkEnd w:id="10"/>
    <w:bookmarkEnd w:id="11"/>
    <w:tbl>
      <w:tblPr>
        <w:tblStyle w:val="11"/>
        <w:tblW w:w="495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9225"/>
      </w:tblGrid>
      <w:tr w14:paraId="6D29F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428" w:type="pct"/>
            <w:vAlign w:val="center"/>
          </w:tcPr>
          <w:p w14:paraId="1FB36931">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分类</w:t>
            </w:r>
          </w:p>
        </w:tc>
        <w:tc>
          <w:tcPr>
            <w:tcW w:w="4571" w:type="pct"/>
            <w:vAlign w:val="center"/>
          </w:tcPr>
          <w:p w14:paraId="2A723700">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具体要求</w:t>
            </w:r>
          </w:p>
        </w:tc>
      </w:tr>
      <w:tr w14:paraId="2D2D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428" w:type="pct"/>
            <w:vAlign w:val="center"/>
          </w:tcPr>
          <w:p w14:paraId="2A5C2A3E">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物业管理用房</w:t>
            </w:r>
          </w:p>
        </w:tc>
        <w:tc>
          <w:tcPr>
            <w:tcW w:w="4571" w:type="pct"/>
            <w:vAlign w:val="center"/>
          </w:tcPr>
          <w:p w14:paraId="30E250DC">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应按不低于地上地下总建筑面积4‰的比例配置物业管理用房</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且不应小于100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。其中</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用于业主委员会议事活动的</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应按配置物业管理用房的比例合理确定</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一般按照建筑面积20</w:t>
            </w:r>
            <w:r>
              <w:rPr>
                <w:rFonts w:hint="eastAsia" w:ascii="Times New Roman" w:hAnsi="Times New Roman" w:eastAsia="仿宋" w:cs="Times New Roman"/>
                <w:color w:val="auto"/>
                <w:sz w:val="28"/>
                <w:szCs w:val="28"/>
                <w:highlight w:val="none"/>
                <w:lang w:val="en-US" w:eastAsia="zh-CN" w:bidi="ar"/>
              </w:rPr>
              <w:t>~</w:t>
            </w:r>
            <w:r>
              <w:rPr>
                <w:rFonts w:hint="default" w:ascii="Times New Roman" w:hAnsi="Times New Roman" w:eastAsia="仿宋" w:cs="Times New Roman"/>
                <w:color w:val="auto"/>
                <w:sz w:val="28"/>
                <w:szCs w:val="28"/>
                <w:highlight w:val="none"/>
                <w:lang w:bidi="ar"/>
              </w:rPr>
              <w:t>40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配置。物业管理用房可分处设置且每处建筑面积不小于100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但位于地面以上部分建筑面积不低于50%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鼓励物业管理用房利用地下空间</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结合需求设置复合性便民设施。</w:t>
            </w:r>
          </w:p>
        </w:tc>
      </w:tr>
      <w:tr w14:paraId="79216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428" w:type="pct"/>
            <w:vAlign w:val="center"/>
          </w:tcPr>
          <w:p w14:paraId="1975D0C0">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养老及托幼设施</w:t>
            </w:r>
          </w:p>
        </w:tc>
        <w:tc>
          <w:tcPr>
            <w:tcW w:w="4571" w:type="pct"/>
            <w:vAlign w:val="center"/>
          </w:tcPr>
          <w:p w14:paraId="5F48E605">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宜按每百户不小于20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的标准配套建设老年活动、托幼服务用房；</w:t>
            </w:r>
          </w:p>
          <w:p w14:paraId="05B36C74">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val="en-US" w:eastAsia="zh-CN" w:bidi="ar"/>
              </w:rPr>
              <w:t>宜</w:t>
            </w:r>
            <w:r>
              <w:rPr>
                <w:rFonts w:hint="default" w:ascii="Times New Roman" w:hAnsi="Times New Roman" w:eastAsia="仿宋" w:cs="Times New Roman"/>
                <w:color w:val="auto"/>
                <w:sz w:val="28"/>
                <w:szCs w:val="28"/>
                <w:highlight w:val="none"/>
                <w:lang w:bidi="ar"/>
              </w:rPr>
              <w:t>按每百户不小于30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的标准配套建设老年人照料设施（设施建设应符合《老年人照料设施建筑设计标准》《建筑设计防火规范》</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并具有独立的出入口通道</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老人居室在二楼及以上</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应设电梯</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电梯应为无障碍电梯</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且至少一台能容纳担架）。</w:t>
            </w:r>
          </w:p>
        </w:tc>
      </w:tr>
    </w:tbl>
    <w:p w14:paraId="30E2AECE">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有条件的新改建住区应根据社区实际需求，增加额外的公共服务设施、商业服务设施，满足住区居民娱乐、休闲、社交等生活需求：</w:t>
      </w:r>
    </w:p>
    <w:p w14:paraId="5F8406DC">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应设置小超市、快递站、银行网点等嵌入式服务设施，宜设置理发店、书吧、茶室、咖啡厅、健身房、游泳池等服务空间和设施；</w:t>
      </w:r>
    </w:p>
    <w:p w14:paraId="0209D693">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应打造共享空间、邻里交流的居住场景，宜设置社区食堂、公共厨房、共享客厅，鼓励有条件的住区设一处共享菜园，通过社区居民共同管理维护，开展</w:t>
      </w:r>
      <w:r>
        <w:rPr>
          <w:rFonts w:hint="eastAsia" w:ascii="Times New Roman" w:hAnsi="Times New Roman" w:eastAsia="仿宋" w:cs="Times New Roman"/>
          <w:b w:val="0"/>
          <w:bCs w:val="0"/>
          <w:color w:val="auto"/>
          <w:sz w:val="28"/>
          <w:szCs w:val="28"/>
          <w:highlight w:val="none"/>
          <w:lang w:val="en-US" w:eastAsia="zh-CN"/>
        </w:rPr>
        <w:t>认知</w:t>
      </w:r>
      <w:r>
        <w:rPr>
          <w:rFonts w:hint="default" w:ascii="Times New Roman" w:hAnsi="Times New Roman" w:eastAsia="仿宋" w:cs="Times New Roman"/>
          <w:b w:val="0"/>
          <w:bCs w:val="0"/>
          <w:color w:val="auto"/>
          <w:sz w:val="28"/>
          <w:szCs w:val="28"/>
          <w:highlight w:val="none"/>
          <w:lang w:val="en-US" w:eastAsia="zh-CN"/>
        </w:rPr>
        <w:t>共享、亲子活动等促进邻里交往；</w:t>
      </w:r>
    </w:p>
    <w:p w14:paraId="4ECEDBC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应响应住户活动需求，根据住区规模在公区设置功能复合的文娱展演空间与社群交往场所，鼓励室外宜配置场地面积不少于200㎡，室内公区宜配置面积不少于100㎡；</w:t>
      </w:r>
    </w:p>
    <w:p w14:paraId="5F9263D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除便民商业服务设施外，鼓励引入跨界融合的全新消费业态满足不同人群的复合化需求。</w:t>
      </w:r>
    </w:p>
    <w:p w14:paraId="20CC62A0">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住区应通过合理的底商管理，营造安全活力的街道空间，提升街区活力：</w:t>
      </w:r>
    </w:p>
    <w:p w14:paraId="7777641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住区应合理配置零售商业，兼容的商业建筑面积不宜超过项目总计容建筑面积的5%；</w:t>
      </w:r>
    </w:p>
    <w:p w14:paraId="7C15B91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住区应合理设置商业设施，社区底商宜布局在宽度30m以下的非主要干道两侧，宜结合住区主要人行出入口、社区公共空间等进行规划布局，与周边商业形成连续界面；设置社区底商的住宅建筑，与社区底商建筑高度相同的部分不应设置住宅功能，宜设置架空层降低社区商业对住宅部分的不利影响；</w:t>
      </w:r>
    </w:p>
    <w:p w14:paraId="2E79C81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未配套设置预留专用烟道的社区商业不允许入驻餐饮服务项目。</w:t>
      </w:r>
    </w:p>
    <w:p w14:paraId="1066E89F">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住区内垃圾房、垃圾转运站等易产生异味的功能性用房应与居住空间保持适当距离，避免对居民带来不良影响：</w:t>
      </w:r>
    </w:p>
    <w:p w14:paraId="6D56613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应科学合理规划环卫流线，生活垃圾应在不影响居民生活的前提下及时收集、及时清运，并且垃圾运输车通行流线宜避开住户主要人行流线；</w:t>
      </w:r>
    </w:p>
    <w:p w14:paraId="40D9103E">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地上垃圾收集点设置应合理并应与周围景观协调，不宜位于住宅单元出入口、人流密集的道路两侧或空气不流通、阴暗、潮湿的地点，宜与建筑保持3.0m以上的卫生距离；</w:t>
      </w:r>
    </w:p>
    <w:p w14:paraId="7B88BA3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地上垃圾收集点应便于识别、分类收集垃圾，收集容器应具有自封闭功能。鼓励同时于收集点配备保洁取水点、洗手池和排水设施，方便垃圾的投放和清洁；</w:t>
      </w:r>
    </w:p>
    <w:p w14:paraId="72E3C4C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GB" w:eastAsia="zh-CN"/>
        </w:rPr>
      </w:pPr>
      <w:r>
        <w:rPr>
          <w:rFonts w:hint="default" w:ascii="Times New Roman" w:hAnsi="Times New Roman" w:eastAsia="仿宋" w:cs="Times New Roman"/>
          <w:b w:val="0"/>
          <w:bCs w:val="0"/>
          <w:color w:val="auto"/>
          <w:sz w:val="28"/>
          <w:szCs w:val="28"/>
          <w:highlight w:val="none"/>
          <w:lang w:val="en-US" w:eastAsia="zh-CN"/>
        </w:rPr>
        <w:t>4 垃圾房应设置于主导风向的下风处、隐蔽且方便使用并设置单独的对外出入口，应独立排风并经过除臭净化措施处理后排至室外对人员无影响区域、应设置独立的排水管道排至室外检查井、供水管道应设置防回流措施。地下垃圾房应独立排风并通过除臭净化措施处理后排至室外对人员无影响区域。鼓励有条件的住区设置负压垃圾房，促进通风换气。</w:t>
      </w:r>
    </w:p>
    <w:p w14:paraId="37F07EB7">
      <w:pPr>
        <w:spacing w:line="360" w:lineRule="auto"/>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b/>
          <w:bCs/>
          <w:color w:val="auto"/>
          <w:sz w:val="28"/>
          <w:szCs w:val="28"/>
          <w:highlight w:val="none"/>
          <w:lang w:bidi="ar"/>
        </w:rPr>
        <w:t>表</w:t>
      </w:r>
      <w:r>
        <w:rPr>
          <w:rFonts w:hint="default" w:ascii="Times New Roman" w:hAnsi="Times New Roman" w:eastAsia="仿宋" w:cs="Times New Roman"/>
          <w:b/>
          <w:bCs/>
          <w:color w:val="auto"/>
          <w:sz w:val="28"/>
          <w:szCs w:val="28"/>
          <w:highlight w:val="none"/>
          <w:lang w:val="en-US" w:eastAsia="zh-CN" w:bidi="ar"/>
        </w:rPr>
        <w:t>2</w:t>
      </w:r>
      <w:r>
        <w:rPr>
          <w:rFonts w:hint="default" w:ascii="Times New Roman" w:hAnsi="Times New Roman" w:eastAsia="仿宋" w:cs="Times New Roman"/>
          <w:b/>
          <w:bCs/>
          <w:color w:val="auto"/>
          <w:sz w:val="28"/>
          <w:szCs w:val="28"/>
          <w:highlight w:val="none"/>
          <w:lang w:bidi="ar"/>
        </w:rPr>
        <w:t>.</w:t>
      </w:r>
      <w:r>
        <w:rPr>
          <w:rFonts w:hint="default" w:ascii="Times New Roman" w:hAnsi="Times New Roman" w:eastAsia="仿宋" w:cs="Times New Roman"/>
          <w:b/>
          <w:bCs/>
          <w:color w:val="auto"/>
          <w:sz w:val="28"/>
          <w:szCs w:val="28"/>
          <w:highlight w:val="none"/>
          <w:lang w:val="en-US" w:eastAsia="zh-CN" w:bidi="ar"/>
        </w:rPr>
        <w:t>2</w:t>
      </w:r>
      <w:r>
        <w:rPr>
          <w:rFonts w:hint="default" w:ascii="Times New Roman" w:hAnsi="Times New Roman" w:eastAsia="仿宋" w:cs="Times New Roman"/>
          <w:b/>
          <w:bCs/>
          <w:color w:val="auto"/>
          <w:sz w:val="28"/>
          <w:szCs w:val="28"/>
          <w:highlight w:val="none"/>
          <w:lang w:bidi="ar"/>
        </w:rPr>
        <w:t>.</w:t>
      </w:r>
      <w:r>
        <w:rPr>
          <w:rFonts w:hint="default" w:ascii="Times New Roman" w:hAnsi="Times New Roman" w:eastAsia="仿宋" w:cs="Times New Roman"/>
          <w:b/>
          <w:bCs/>
          <w:color w:val="auto"/>
          <w:sz w:val="28"/>
          <w:szCs w:val="28"/>
          <w:highlight w:val="none"/>
          <w:lang w:val="en-US" w:eastAsia="zh-CN" w:bidi="ar"/>
        </w:rPr>
        <w:t>2</w:t>
      </w:r>
      <w:r>
        <w:rPr>
          <w:rFonts w:hint="default" w:ascii="Times New Roman" w:hAnsi="Times New Roman" w:eastAsia="仿宋" w:cs="Times New Roman"/>
          <w:b/>
          <w:bCs/>
          <w:color w:val="auto"/>
          <w:sz w:val="28"/>
          <w:szCs w:val="28"/>
          <w:highlight w:val="none"/>
          <w:lang w:bidi="ar"/>
        </w:rPr>
        <w:t xml:space="preserve"> 住房配建垃圾用房配置一览表</w:t>
      </w:r>
    </w:p>
    <w:tbl>
      <w:tblPr>
        <w:tblStyle w:val="11"/>
        <w:tblW w:w="49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9227"/>
      </w:tblGrid>
      <w:tr w14:paraId="5C3DF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428" w:type="pct"/>
            <w:vAlign w:val="center"/>
          </w:tcPr>
          <w:p w14:paraId="07F24AF7">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分类</w:t>
            </w:r>
          </w:p>
        </w:tc>
        <w:tc>
          <w:tcPr>
            <w:tcW w:w="4572" w:type="pct"/>
            <w:vAlign w:val="center"/>
          </w:tcPr>
          <w:p w14:paraId="56BFC626">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具体要求</w:t>
            </w:r>
          </w:p>
        </w:tc>
      </w:tr>
      <w:tr w14:paraId="6145A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9" w:hRule="atLeast"/>
        </w:trPr>
        <w:tc>
          <w:tcPr>
            <w:tcW w:w="428" w:type="pct"/>
            <w:vAlign w:val="center"/>
          </w:tcPr>
          <w:p w14:paraId="724A269F">
            <w:pPr>
              <w:jc w:val="cente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垃圾用房</w:t>
            </w:r>
          </w:p>
        </w:tc>
        <w:tc>
          <w:tcPr>
            <w:tcW w:w="4572" w:type="pct"/>
            <w:vAlign w:val="center"/>
          </w:tcPr>
          <w:p w14:paraId="58CE34AF">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新建住宅项目</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按住宅建筑面积8‰配建垃圾用房</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且建筑面积应不小于20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住宅建筑面积较大的项目可分散设置垃圾用房；</w:t>
            </w:r>
          </w:p>
          <w:p w14:paraId="79EC7C80">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设有农贸市场的用地内应配建建筑面积不小于20</w:t>
            </w:r>
            <w:r>
              <w:rPr>
                <w:rFonts w:hint="default" w:ascii="Times New Roman" w:hAnsi="Times New Roman" w:eastAsia="仿宋" w:cs="Times New Roman"/>
                <w:color w:val="auto"/>
                <w:sz w:val="28"/>
                <w:szCs w:val="28"/>
                <w:highlight w:val="none"/>
                <w:lang w:eastAsia="zh-CN" w:bidi="ar"/>
              </w:rPr>
              <w:t>㎡</w:t>
            </w:r>
            <w:r>
              <w:rPr>
                <w:rFonts w:hint="default" w:ascii="Times New Roman" w:hAnsi="Times New Roman" w:eastAsia="仿宋" w:cs="Times New Roman"/>
                <w:color w:val="auto"/>
                <w:sz w:val="28"/>
                <w:szCs w:val="28"/>
                <w:highlight w:val="none"/>
                <w:lang w:bidi="ar"/>
              </w:rPr>
              <w:t>的垃圾用房。</w:t>
            </w:r>
          </w:p>
          <w:p w14:paraId="588A6CDD">
            <w:pPr>
              <w:rPr>
                <w:rFonts w:hint="default" w:ascii="Times New Roman" w:hAnsi="Times New Roman" w:eastAsia="仿宋" w:cs="Times New Roman"/>
                <w:color w:val="auto"/>
                <w:sz w:val="28"/>
                <w:szCs w:val="28"/>
                <w:highlight w:val="none"/>
                <w:lang w:bidi="ar"/>
              </w:rPr>
            </w:pPr>
            <w:r>
              <w:rPr>
                <w:rFonts w:hint="default" w:ascii="Times New Roman" w:hAnsi="Times New Roman" w:eastAsia="仿宋" w:cs="Times New Roman"/>
                <w:color w:val="auto"/>
                <w:sz w:val="28"/>
                <w:szCs w:val="28"/>
                <w:highlight w:val="none"/>
                <w:lang w:bidi="ar"/>
              </w:rPr>
              <w:t>垃圾用房建筑面积可不纳入计容。但占地面积应纳入建筑密度计算。</w:t>
            </w:r>
          </w:p>
        </w:tc>
      </w:tr>
    </w:tbl>
    <w:p w14:paraId="42116251">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应合理布置室外吸烟区，并应满足下列要求：</w:t>
      </w:r>
    </w:p>
    <w:p w14:paraId="4668795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室外吸烟区应布置在建筑主出入口的主导风向的下风向，且与所有建筑出入口、新风进气口和可开启窗扇的距离不应少于8.0m，且距离儿童和老人活动场地不应少于8.0m；</w:t>
      </w:r>
    </w:p>
    <w:p w14:paraId="38CA976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室外吸烟区应与绿植结合布置</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并合理配置座椅和带烟头收集的</w:t>
      </w:r>
      <w:r>
        <w:rPr>
          <w:rFonts w:hint="eastAsia" w:ascii="Times New Roman" w:hAnsi="Times New Roman" w:eastAsia="仿宋" w:cs="Times New Roman"/>
          <w:b w:val="0"/>
          <w:bCs w:val="0"/>
          <w:color w:val="auto"/>
          <w:sz w:val="28"/>
          <w:szCs w:val="28"/>
          <w:highlight w:val="none"/>
          <w:lang w:val="en-US" w:eastAsia="zh-CN"/>
        </w:rPr>
        <w:t>垃圾桶</w:t>
      </w:r>
      <w:r>
        <w:rPr>
          <w:rFonts w:hint="default" w:ascii="Times New Roman" w:hAnsi="Times New Roman" w:eastAsia="仿宋" w:cs="Times New Roman"/>
          <w:b w:val="0"/>
          <w:bCs w:val="0"/>
          <w:color w:val="auto"/>
          <w:sz w:val="28"/>
          <w:szCs w:val="28"/>
          <w:highlight w:val="none"/>
          <w:lang w:val="en-US" w:eastAsia="zh-CN"/>
        </w:rPr>
        <w:t>，从建筑主出入口至室外吸烟区的导向标识完整、定位标识醒目，吸烟区设置吸烟有害健康的警示标识。</w:t>
      </w:r>
    </w:p>
    <w:p w14:paraId="514D3117">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住区绿地配置应符合以下要求：</w:t>
      </w:r>
    </w:p>
    <w:p w14:paraId="4C1B7130">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住区应合理提升住区绿化水平，新建住区绿地率≥35%，改建住区绿地率≥30%，绿地率计算规则应符合《四川省绿色建筑评价标准》《遂宁市城市规划管理技术规定</w:t>
      </w:r>
      <w:r>
        <w:rPr>
          <w:rFonts w:hint="eastAsia" w:ascii="Times New Roman" w:hAnsi="Times New Roman" w:eastAsia="仿宋" w:cs="Times New Roman"/>
          <w:b w:val="0"/>
          <w:bCs w:val="0"/>
          <w:color w:val="auto"/>
          <w:sz w:val="28"/>
          <w:szCs w:val="28"/>
          <w:highlight w:val="none"/>
          <w:lang w:val="en-US" w:eastAsia="zh-CN"/>
        </w:rPr>
        <w:t>》等</w:t>
      </w:r>
      <w:r>
        <w:rPr>
          <w:rFonts w:hint="default" w:ascii="Times New Roman" w:hAnsi="Times New Roman" w:eastAsia="仿宋" w:cs="Times New Roman"/>
          <w:b w:val="0"/>
          <w:bCs w:val="0"/>
          <w:color w:val="auto"/>
          <w:sz w:val="28"/>
          <w:szCs w:val="28"/>
          <w:highlight w:val="none"/>
          <w:lang w:val="en-US" w:eastAsia="zh-CN"/>
        </w:rPr>
        <w:t>相关要求；</w:t>
      </w:r>
    </w:p>
    <w:p w14:paraId="6FC9945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植物配置应满足多样性，并应使用乔灌草复层绿化、常绿树种与落叶树种搭配、速生树种与慢生树种相结合，其中每100㎡绿地上乔木数量不宜少于5株，乔灌覆盖率不宜低于70%，植物景观效果需做到四季常绿、三季有花；</w:t>
      </w:r>
    </w:p>
    <w:p w14:paraId="34F6142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393565" cy="2543810"/>
            <wp:effectExtent l="0" t="0" r="6985" b="8890"/>
            <wp:docPr id="22" name="图片 2" descr="【素材分享】园林植物分析图_1_Shark pepper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素材分享】园林植物分析图_1_Shark pepper_来自小红书网页版"/>
                    <pic:cNvPicPr>
                      <a:picLocks noChangeAspect="1"/>
                    </pic:cNvPicPr>
                  </pic:nvPicPr>
                  <pic:blipFill>
                    <a:blip r:embed="rId12"/>
                    <a:srcRect t="13333" b="4175"/>
                    <a:stretch>
                      <a:fillRect/>
                    </a:stretch>
                  </pic:blipFill>
                  <pic:spPr>
                    <a:xfrm>
                      <a:off x="0" y="0"/>
                      <a:ext cx="4393565" cy="2543810"/>
                    </a:xfrm>
                    <a:prstGeom prst="rect">
                      <a:avLst/>
                    </a:prstGeom>
                  </pic:spPr>
                </pic:pic>
              </a:graphicData>
            </a:graphic>
          </wp:inline>
        </w:drawing>
      </w:r>
    </w:p>
    <w:p w14:paraId="7C5785D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图2-2-1 植物配置引导图</w:t>
      </w:r>
    </w:p>
    <w:p w14:paraId="12308F1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植物选择应优先选用适宜遂宁本地气候特点与体现城市特色的植物，选择适应当地气候和土壤、对人体与环境无毒害、易维护、病虫害少、景观效果好的品种，种植区域覆土深度和排水能力应满足植物生长要求</w:t>
      </w:r>
      <w:r>
        <w:rPr>
          <w:rFonts w:hint="eastAsia" w:ascii="Times New Roman" w:hAnsi="Times New Roman" w:eastAsia="仿宋" w:cs="Times New Roman"/>
          <w:b w:val="0"/>
          <w:bCs w:val="0"/>
          <w:color w:val="auto"/>
          <w:sz w:val="28"/>
          <w:szCs w:val="28"/>
          <w:highlight w:val="none"/>
          <w:lang w:val="en-US" w:eastAsia="zh-CN"/>
        </w:rPr>
        <w:t>。</w:t>
      </w:r>
    </w:p>
    <w:p w14:paraId="2D07C7C6">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住区应采取措施降低热岛强度，且应满足下列要求：</w:t>
      </w:r>
    </w:p>
    <w:p w14:paraId="79512393">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场地中处于建筑阴影区外的室外活动场地应有乔木和人工遮阴，</w:t>
      </w:r>
      <w:r>
        <w:rPr>
          <w:rFonts w:hint="eastAsia" w:ascii="Times New Roman" w:hAnsi="Times New Roman" w:eastAsia="仿宋" w:cs="Times New Roman"/>
          <w:b w:val="0"/>
          <w:bCs w:val="0"/>
          <w:color w:val="auto"/>
          <w:sz w:val="28"/>
          <w:szCs w:val="28"/>
          <w:highlight w:val="none"/>
          <w:lang w:val="en-US" w:eastAsia="zh-CN"/>
        </w:rPr>
        <w:t>遮阴</w:t>
      </w:r>
      <w:r>
        <w:rPr>
          <w:rFonts w:hint="default" w:ascii="Times New Roman" w:hAnsi="Times New Roman" w:eastAsia="仿宋" w:cs="Times New Roman"/>
          <w:b w:val="0"/>
          <w:bCs w:val="0"/>
          <w:color w:val="auto"/>
          <w:sz w:val="28"/>
          <w:szCs w:val="28"/>
          <w:highlight w:val="none"/>
          <w:lang w:val="en-US" w:eastAsia="zh-CN"/>
        </w:rPr>
        <w:t>面积宜达到户外活动区域总面积的30%；</w:t>
      </w:r>
    </w:p>
    <w:p w14:paraId="4B675F57">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场地中处于建筑阴影区外的机动车道应配置</w:t>
      </w:r>
      <w:r>
        <w:rPr>
          <w:rFonts w:hint="eastAsia" w:ascii="Times New Roman" w:hAnsi="Times New Roman" w:eastAsia="仿宋" w:cs="Times New Roman"/>
          <w:b w:val="0"/>
          <w:bCs w:val="0"/>
          <w:color w:val="auto"/>
          <w:sz w:val="28"/>
          <w:szCs w:val="28"/>
          <w:highlight w:val="none"/>
          <w:lang w:val="en-US" w:eastAsia="zh-CN"/>
        </w:rPr>
        <w:t>遮阴</w:t>
      </w:r>
      <w:r>
        <w:rPr>
          <w:rFonts w:hint="default" w:ascii="Times New Roman" w:hAnsi="Times New Roman" w:eastAsia="仿宋" w:cs="Times New Roman"/>
          <w:b w:val="0"/>
          <w:bCs w:val="0"/>
          <w:color w:val="auto"/>
          <w:sz w:val="28"/>
          <w:szCs w:val="28"/>
          <w:highlight w:val="none"/>
          <w:lang w:val="en-US" w:eastAsia="zh-CN"/>
        </w:rPr>
        <w:t>树木，设有遮阴行道树的路段长度宜超过70%；</w:t>
      </w:r>
    </w:p>
    <w:p w14:paraId="23C2A48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住区应采取措施降低屋面太阳辐射得热，屋顶的绿化面积、太阳能板水平投影面积以及太阳辐射反射系数不小于0.4的屋面面积合计比例宜不小于75%。</w:t>
      </w:r>
    </w:p>
    <w:p w14:paraId="20FD2DB8">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住区应结合集中绿地、景观小品设置全龄活动场地，布置相应的休闲座椅、健身器材等设施，并应符合下列规定：</w:t>
      </w:r>
    </w:p>
    <w:p w14:paraId="5A8FAA2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全龄活动场地应设置供活动人员休息的座椅；</w:t>
      </w:r>
    </w:p>
    <w:p w14:paraId="367C3CD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活动区域应有充足的日照条件，同时考虑引导夏季自然风和阻挡冬季寒风；</w:t>
      </w:r>
    </w:p>
    <w:p w14:paraId="2DFFBB5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活动区域绿化空间应保障视线通透，场地应设置夜间照明设施，保障活动区域及附近的人员安全。</w:t>
      </w:r>
    </w:p>
    <w:p w14:paraId="519BB161">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住区应根据人口规模、住区和社区建设情况，完善住区健身场地设施。</w:t>
      </w:r>
      <w:bookmarkStart w:id="12" w:name="OLE_LINK27"/>
    </w:p>
    <w:bookmarkEnd w:id="12"/>
    <w:p w14:paraId="6BE6453A">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新建住区和社区应按照室内人均建筑面积不低于0.1㎡或室外人均用地不低于0.3㎡的标准配建健身设施；</w:t>
      </w:r>
    </w:p>
    <w:p w14:paraId="07DCC10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应设置健身活动场地和健身步道，健身步道宽度不应小于1.25m，长度不少于用地红线周长的1/4且不少于100m，应采用环保型弹性减震材料并设置引导标识；</w:t>
      </w:r>
    </w:p>
    <w:p w14:paraId="791396F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住区应按规模配置以乒乓球台等小型设施为重点的体育健身设施和场地，设施种类不应小于4种，宜符合表2.2.</w:t>
      </w:r>
      <w:r>
        <w:rPr>
          <w:rFonts w:hint="default" w:ascii="Times New Roman" w:hAnsi="Times New Roman" w:eastAsia="仿宋" w:cs="Times New Roman"/>
          <w:b w:val="0"/>
          <w:bCs w:val="0"/>
          <w:color w:val="auto"/>
          <w:sz w:val="28"/>
          <w:szCs w:val="28"/>
          <w:highlight w:val="none"/>
          <w:lang w:val="en-GB" w:eastAsia="zh-CN"/>
        </w:rPr>
        <w:t>3</w:t>
      </w:r>
      <w:r>
        <w:rPr>
          <w:rFonts w:hint="default" w:ascii="Times New Roman" w:hAnsi="Times New Roman" w:eastAsia="仿宋" w:cs="Times New Roman"/>
          <w:b w:val="0"/>
          <w:bCs w:val="0"/>
          <w:color w:val="auto"/>
          <w:sz w:val="28"/>
          <w:szCs w:val="28"/>
          <w:highlight w:val="none"/>
          <w:lang w:val="en-US" w:eastAsia="zh-CN"/>
        </w:rPr>
        <w:t>的规定。</w:t>
      </w:r>
    </w:p>
    <w:p w14:paraId="24B7C0FB">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b/>
          <w:bCs/>
          <w:color w:val="auto"/>
          <w:sz w:val="28"/>
          <w:szCs w:val="28"/>
          <w:highlight w:val="none"/>
        </w:rPr>
        <w:t>表</w:t>
      </w:r>
      <w:r>
        <w:rPr>
          <w:rFonts w:hint="default" w:ascii="Times New Roman" w:hAnsi="Times New Roman" w:eastAsia="仿宋" w:cs="Times New Roman"/>
          <w:b/>
          <w:bCs/>
          <w:color w:val="auto"/>
          <w:sz w:val="28"/>
          <w:szCs w:val="28"/>
          <w:highlight w:val="none"/>
          <w:lang w:val="en-US" w:eastAsia="zh-CN"/>
        </w:rPr>
        <w:t>2</w:t>
      </w:r>
      <w:r>
        <w:rPr>
          <w:rFonts w:hint="default" w:ascii="Times New Roman" w:hAnsi="Times New Roman" w:eastAsia="仿宋" w:cs="Times New Roman"/>
          <w:b/>
          <w:bCs/>
          <w:color w:val="auto"/>
          <w:sz w:val="28"/>
          <w:szCs w:val="28"/>
          <w:highlight w:val="none"/>
        </w:rPr>
        <w:t>.</w:t>
      </w:r>
      <w:r>
        <w:rPr>
          <w:rFonts w:hint="default" w:ascii="Times New Roman" w:hAnsi="Times New Roman" w:eastAsia="仿宋" w:cs="Times New Roman"/>
          <w:b/>
          <w:bCs/>
          <w:color w:val="auto"/>
          <w:sz w:val="28"/>
          <w:szCs w:val="28"/>
          <w:highlight w:val="none"/>
          <w:lang w:val="en-US" w:eastAsia="zh-CN"/>
        </w:rPr>
        <w:t>2</w:t>
      </w:r>
      <w:r>
        <w:rPr>
          <w:rFonts w:hint="default" w:ascii="Times New Roman" w:hAnsi="Times New Roman" w:eastAsia="仿宋" w:cs="Times New Roman"/>
          <w:b/>
          <w:bCs/>
          <w:color w:val="auto"/>
          <w:sz w:val="28"/>
          <w:szCs w:val="28"/>
          <w:highlight w:val="none"/>
        </w:rPr>
        <w:t>.</w:t>
      </w:r>
      <w:bookmarkStart w:id="13" w:name="OLE_LINK11"/>
      <w:bookmarkStart w:id="14" w:name="OLE_LINK5"/>
      <w:r>
        <w:rPr>
          <w:rFonts w:hint="default" w:ascii="Times New Roman" w:hAnsi="Times New Roman" w:eastAsia="仿宋" w:cs="Times New Roman"/>
          <w:b/>
          <w:bCs/>
          <w:color w:val="auto"/>
          <w:sz w:val="28"/>
          <w:szCs w:val="28"/>
          <w:highlight w:val="none"/>
          <w:lang w:val="en-US" w:eastAsia="zh-CN"/>
        </w:rPr>
        <w:t>3</w:t>
      </w:r>
      <w:r>
        <w:rPr>
          <w:rFonts w:hint="default" w:ascii="Times New Roman" w:hAnsi="Times New Roman" w:eastAsia="仿宋" w:cs="Times New Roman"/>
          <w:b/>
          <w:bCs/>
          <w:color w:val="auto"/>
          <w:sz w:val="28"/>
          <w:szCs w:val="28"/>
          <w:highlight w:val="none"/>
        </w:rPr>
        <w:t xml:space="preserve"> 新建</w:t>
      </w:r>
      <w:r>
        <w:rPr>
          <w:rFonts w:hint="default" w:ascii="Times New Roman" w:hAnsi="Times New Roman" w:eastAsia="仿宋" w:cs="Times New Roman"/>
          <w:b/>
          <w:bCs/>
          <w:color w:val="auto"/>
          <w:sz w:val="28"/>
          <w:szCs w:val="28"/>
          <w:highlight w:val="none"/>
          <w:lang w:eastAsia="zh-CN"/>
        </w:rPr>
        <w:t>住区</w:t>
      </w:r>
      <w:r>
        <w:rPr>
          <w:rFonts w:hint="default" w:ascii="Times New Roman" w:hAnsi="Times New Roman" w:eastAsia="仿宋" w:cs="Times New Roman"/>
          <w:b/>
          <w:bCs/>
          <w:color w:val="auto"/>
          <w:sz w:val="28"/>
          <w:szCs w:val="28"/>
          <w:highlight w:val="none"/>
        </w:rPr>
        <w:t>规模与公共体育设施</w:t>
      </w:r>
      <w:bookmarkEnd w:id="13"/>
      <w:bookmarkEnd w:id="14"/>
      <w:r>
        <w:rPr>
          <w:rFonts w:hint="default" w:ascii="Times New Roman" w:hAnsi="Times New Roman" w:eastAsia="仿宋" w:cs="Times New Roman"/>
          <w:b/>
          <w:bCs/>
          <w:color w:val="auto"/>
          <w:sz w:val="28"/>
          <w:szCs w:val="28"/>
          <w:highlight w:val="none"/>
        </w:rPr>
        <w:t>配置表</w:t>
      </w:r>
    </w:p>
    <w:tbl>
      <w:tblPr>
        <w:tblStyle w:val="11"/>
        <w:tblW w:w="93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5"/>
        <w:gridCol w:w="1701"/>
        <w:gridCol w:w="5639"/>
      </w:tblGrid>
      <w:tr w14:paraId="4F298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230A6D5">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住区</w:t>
            </w:r>
            <w:r>
              <w:rPr>
                <w:rFonts w:hint="default" w:ascii="Times New Roman" w:hAnsi="Times New Roman" w:eastAsia="仿宋" w:cs="Times New Roman"/>
                <w:color w:val="auto"/>
                <w:sz w:val="28"/>
                <w:szCs w:val="28"/>
                <w:highlight w:val="none"/>
              </w:rPr>
              <w:t>规模（</w:t>
            </w:r>
            <w:r>
              <w:rPr>
                <w:rFonts w:hint="default"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rPr>
              <w:t>）</w:t>
            </w:r>
          </w:p>
        </w:tc>
        <w:tc>
          <w:tcPr>
            <w:tcW w:w="1701"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DFE3882">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室内公共体育设施建筑面积（</w:t>
            </w:r>
            <w:r>
              <w:rPr>
                <w:rFonts w:hint="default"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rPr>
              <w:t>）</w:t>
            </w:r>
          </w:p>
        </w:tc>
        <w:tc>
          <w:tcPr>
            <w:tcW w:w="5639"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09C5CA0">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住区适配体育设施</w:t>
            </w:r>
          </w:p>
        </w:tc>
      </w:tr>
      <w:tr w14:paraId="573A3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EA8D959">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S</w:t>
            </w:r>
            <w:r>
              <w:rPr>
                <w:rFonts w:hint="eastAsia" w:ascii="Times New Roman" w:hAnsi="Times New Roman" w:eastAsia="仿宋" w:cs="Times New Roman"/>
                <w:color w:val="auto"/>
                <w:sz w:val="28"/>
                <w:szCs w:val="28"/>
                <w:highlight w:val="none"/>
                <w:lang w:eastAsia="zh-CN"/>
              </w:rPr>
              <w:t>&lt;</w:t>
            </w:r>
            <w:r>
              <w:rPr>
                <w:rFonts w:hint="default" w:ascii="Times New Roman" w:hAnsi="Times New Roman" w:eastAsia="仿宋" w:cs="Times New Roman"/>
                <w:color w:val="auto"/>
                <w:sz w:val="28"/>
                <w:szCs w:val="28"/>
                <w:highlight w:val="none"/>
              </w:rPr>
              <w:t>50000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BCE03D0">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≥250</w:t>
            </w:r>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BC865AA">
            <w:pPr>
              <w:spacing w:line="360" w:lineRule="auto"/>
              <w:jc w:val="center"/>
              <w:rPr>
                <w:rFonts w:hint="default" w:ascii="Times New Roman" w:hAnsi="Times New Roman" w:eastAsia="仿宋" w:cs="Times New Roman"/>
                <w:color w:val="auto"/>
                <w:sz w:val="28"/>
                <w:szCs w:val="28"/>
                <w:highlight w:val="none"/>
              </w:rPr>
            </w:pPr>
            <w:bookmarkStart w:id="15" w:name="OLE_LINK31"/>
            <w:r>
              <w:rPr>
                <w:rFonts w:hint="default" w:ascii="Times New Roman" w:hAnsi="Times New Roman" w:eastAsia="仿宋" w:cs="Times New Roman"/>
                <w:color w:val="auto"/>
                <w:sz w:val="28"/>
                <w:szCs w:val="28"/>
                <w:highlight w:val="none"/>
              </w:rPr>
              <w:t>羽毛球、三人篮球、软式排球、台球、乒乓球、操房、棋牌等</w:t>
            </w:r>
            <w:bookmarkEnd w:id="15"/>
          </w:p>
        </w:tc>
      </w:tr>
      <w:tr w14:paraId="06F1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4C49581">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50000≤S≤100000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F991DDE">
            <w:pPr>
              <w:spacing w:line="360" w:lineRule="auto"/>
              <w:jc w:val="center"/>
              <w:rPr>
                <w:rFonts w:hint="default" w:ascii="Times New Roman" w:hAnsi="Times New Roman" w:eastAsia="仿宋" w:cs="Times New Roman"/>
                <w:color w:val="auto"/>
                <w:sz w:val="28"/>
                <w:szCs w:val="28"/>
                <w:highlight w:val="none"/>
              </w:rPr>
            </w:pPr>
            <w:bookmarkStart w:id="16" w:name="OLE_LINK29"/>
            <w:r>
              <w:rPr>
                <w:rFonts w:hint="default" w:ascii="Times New Roman" w:hAnsi="Times New Roman" w:eastAsia="仿宋" w:cs="Times New Roman"/>
                <w:color w:val="auto"/>
                <w:sz w:val="28"/>
                <w:szCs w:val="28"/>
                <w:highlight w:val="none"/>
              </w:rPr>
              <w:t>≥350</w:t>
            </w:r>
            <w:bookmarkEnd w:id="16"/>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4401615">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羽毛球、三人篮球、排球、台球、</w:t>
            </w:r>
            <w:bookmarkStart w:id="17" w:name="OLE_LINK18"/>
            <w:bookmarkStart w:id="18" w:name="OLE_LINK13"/>
            <w:r>
              <w:rPr>
                <w:rFonts w:hint="default" w:ascii="Times New Roman" w:hAnsi="Times New Roman" w:eastAsia="仿宋" w:cs="Times New Roman"/>
                <w:color w:val="auto"/>
                <w:sz w:val="28"/>
                <w:szCs w:val="28"/>
                <w:highlight w:val="none"/>
              </w:rPr>
              <w:t>乒乓球、</w:t>
            </w:r>
            <w:bookmarkEnd w:id="17"/>
            <w:bookmarkEnd w:id="18"/>
            <w:r>
              <w:rPr>
                <w:rFonts w:hint="default" w:ascii="Times New Roman" w:hAnsi="Times New Roman" w:eastAsia="仿宋" w:cs="Times New Roman"/>
                <w:color w:val="auto"/>
                <w:sz w:val="28"/>
                <w:szCs w:val="28"/>
                <w:highlight w:val="none"/>
              </w:rPr>
              <w:t>健身房、棋牌等</w:t>
            </w:r>
          </w:p>
        </w:tc>
      </w:tr>
      <w:tr w14:paraId="5848F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1E58F0E">
            <w:pPr>
              <w:spacing w:line="360" w:lineRule="auto"/>
              <w:jc w:val="center"/>
              <w:rPr>
                <w:rFonts w:hint="default" w:ascii="Times New Roman" w:hAnsi="Times New Roman" w:eastAsia="仿宋" w:cs="Times New Roman"/>
                <w:color w:val="auto"/>
                <w:sz w:val="28"/>
                <w:szCs w:val="28"/>
                <w:highlight w:val="none"/>
              </w:rPr>
            </w:pPr>
            <w:bookmarkStart w:id="19" w:name="OLE_LINK28"/>
            <w:r>
              <w:rPr>
                <w:rFonts w:hint="default" w:ascii="Times New Roman" w:hAnsi="Times New Roman" w:eastAsia="仿宋" w:cs="Times New Roman"/>
                <w:color w:val="auto"/>
                <w:sz w:val="28"/>
                <w:szCs w:val="28"/>
                <w:highlight w:val="none"/>
              </w:rPr>
              <w:t>50000</w:t>
            </w:r>
            <w:bookmarkEnd w:id="19"/>
            <w:r>
              <w:rPr>
                <w:rFonts w:hint="default" w:ascii="Times New Roman" w:hAnsi="Times New Roman" w:eastAsia="仿宋" w:cs="Times New Roman"/>
                <w:color w:val="auto"/>
                <w:sz w:val="28"/>
                <w:szCs w:val="28"/>
                <w:highlight w:val="none"/>
              </w:rPr>
              <w:t>≤S≤120000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220C152">
            <w:pPr>
              <w:spacing w:line="360" w:lineRule="auto"/>
              <w:jc w:val="center"/>
              <w:rPr>
                <w:rFonts w:hint="default" w:ascii="Times New Roman" w:hAnsi="Times New Roman" w:eastAsia="仿宋" w:cs="Times New Roman"/>
                <w:color w:val="auto"/>
                <w:sz w:val="28"/>
                <w:szCs w:val="28"/>
                <w:highlight w:val="none"/>
              </w:rPr>
            </w:pPr>
            <w:bookmarkStart w:id="20" w:name="OLE_LINK30"/>
            <w:r>
              <w:rPr>
                <w:rFonts w:hint="default" w:ascii="Times New Roman" w:hAnsi="Times New Roman" w:eastAsia="仿宋" w:cs="Times New Roman"/>
                <w:color w:val="auto"/>
                <w:sz w:val="28"/>
                <w:szCs w:val="28"/>
                <w:highlight w:val="none"/>
              </w:rPr>
              <w:t>≥500</w:t>
            </w:r>
            <w:bookmarkEnd w:id="20"/>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159F6AD">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游泳池、羽毛球、篮球、乒乓球、健身房、棋牌等</w:t>
            </w:r>
          </w:p>
        </w:tc>
      </w:tr>
      <w:tr w14:paraId="29145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D5CC753">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S</w:t>
            </w:r>
            <w:r>
              <w:rPr>
                <w:rFonts w:hint="eastAsia" w:ascii="Times New Roman" w:hAnsi="Times New Roman" w:eastAsia="仿宋" w:cs="Times New Roman"/>
                <w:color w:val="auto"/>
                <w:sz w:val="28"/>
                <w:szCs w:val="28"/>
                <w:highlight w:val="none"/>
                <w:lang w:eastAsia="zh-CN"/>
              </w:rPr>
              <w:t>&gt;</w:t>
            </w:r>
            <w:r>
              <w:rPr>
                <w:rFonts w:hint="default" w:ascii="Times New Roman" w:hAnsi="Times New Roman" w:eastAsia="仿宋" w:cs="Times New Roman"/>
                <w:color w:val="auto"/>
                <w:sz w:val="28"/>
                <w:szCs w:val="28"/>
                <w:highlight w:val="none"/>
              </w:rPr>
              <w:t>120000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6ED99D9">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≥600</w:t>
            </w:r>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112F930">
            <w:pPr>
              <w:spacing w:line="360" w:lineRule="auto"/>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游泳池、五人足球、羽毛球、篮球、乒乓球、台球、健身房、棋牌等</w:t>
            </w:r>
          </w:p>
        </w:tc>
      </w:tr>
    </w:tbl>
    <w:p w14:paraId="3560633D">
      <w:pPr>
        <w:numPr>
          <w:ilvl w:val="2"/>
          <w:numId w:val="5"/>
        </w:numPr>
        <w:ind w:firstLine="560" w:firstLineChars="200"/>
        <w:outlineLvl w:val="2"/>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住区规划形态应与城市、城镇界面相适应</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合理控制沿街建筑的长度与高度。沿街布置的生活服务建筑与商业建筑宜有连续性</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使公共空间边界清晰完整。道路、主要河道、通风廊道等重要城市界面的住房应注重通透性</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避免形成“一堵墙”。住房的最大</w:t>
      </w:r>
      <w:r>
        <w:rPr>
          <w:rFonts w:hint="default" w:ascii="Times New Roman" w:hAnsi="Times New Roman" w:eastAsia="仿宋" w:cs="Times New Roman"/>
          <w:color w:val="auto"/>
          <w:sz w:val="28"/>
          <w:szCs w:val="28"/>
          <w:highlight w:val="none"/>
          <w:u w:val="none"/>
          <w:lang w:val="en-US" w:eastAsia="zh-CN"/>
        </w:rPr>
        <w:t>建筑</w:t>
      </w:r>
      <w:r>
        <w:rPr>
          <w:rFonts w:hint="default" w:ascii="Times New Roman" w:hAnsi="Times New Roman" w:eastAsia="仿宋" w:cs="Times New Roman"/>
          <w:color w:val="auto"/>
          <w:sz w:val="28"/>
          <w:szCs w:val="28"/>
          <w:highlight w:val="none"/>
          <w:u w:val="none"/>
        </w:rPr>
        <w:t>连续面宽的投影</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除经批准的</w:t>
      </w:r>
      <w:bookmarkStart w:id="21" w:name="OLE_LINK111"/>
      <w:bookmarkStart w:id="22" w:name="OLE_LINK112"/>
      <w:r>
        <w:rPr>
          <w:rFonts w:hint="default" w:ascii="Times New Roman" w:hAnsi="Times New Roman" w:eastAsia="仿宋" w:cs="Times New Roman"/>
          <w:color w:val="auto"/>
          <w:sz w:val="28"/>
          <w:szCs w:val="28"/>
          <w:highlight w:val="none"/>
          <w:u w:val="none"/>
        </w:rPr>
        <w:t>详细规划</w:t>
      </w:r>
      <w:bookmarkEnd w:id="21"/>
      <w:bookmarkEnd w:id="22"/>
      <w:r>
        <w:rPr>
          <w:rFonts w:hint="default" w:ascii="Times New Roman" w:hAnsi="Times New Roman" w:eastAsia="仿宋" w:cs="Times New Roman"/>
          <w:color w:val="auto"/>
          <w:sz w:val="28"/>
          <w:szCs w:val="28"/>
          <w:highlight w:val="none"/>
          <w:u w:val="none"/>
        </w:rPr>
        <w:t>、遂宁市城市规划管理技术规定另有要求外</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并需符合下列规定：</w:t>
      </w:r>
    </w:p>
    <w:p w14:paraId="64454A55">
      <w:pPr>
        <w:tabs>
          <w:tab w:val="left" w:pos="420"/>
        </w:tabs>
        <w:ind w:firstLine="560" w:firstLineChars="200"/>
        <w:jc w:val="left"/>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1</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当建筑高度小于24m时</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住房单一方向不宜大于三个单元且总宽度不宜大于80m；</w:t>
      </w:r>
    </w:p>
    <w:p w14:paraId="29633FCA">
      <w:pPr>
        <w:tabs>
          <w:tab w:val="left" w:pos="420"/>
        </w:tabs>
        <w:ind w:firstLine="560" w:firstLineChars="200"/>
        <w:jc w:val="left"/>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2</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当建筑高度在24</w:t>
      </w:r>
      <w:r>
        <w:rPr>
          <w:rFonts w:hint="eastAsia"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60m时</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住房单一方向宽度不宜大于</w:t>
      </w:r>
      <w:r>
        <w:rPr>
          <w:rFonts w:hint="default" w:ascii="Times New Roman" w:hAnsi="Times New Roman" w:eastAsia="仿宋" w:cs="Times New Roman"/>
          <w:color w:val="auto"/>
          <w:sz w:val="28"/>
          <w:szCs w:val="28"/>
          <w:highlight w:val="none"/>
          <w:u w:val="none"/>
          <w:lang w:val="en-US" w:eastAsia="zh-CN"/>
        </w:rPr>
        <w:t>6</w:t>
      </w:r>
      <w:r>
        <w:rPr>
          <w:rFonts w:hint="default" w:ascii="Times New Roman" w:hAnsi="Times New Roman" w:eastAsia="仿宋" w:cs="Times New Roman"/>
          <w:color w:val="auto"/>
          <w:sz w:val="28"/>
          <w:szCs w:val="28"/>
          <w:highlight w:val="none"/>
          <w:u w:val="none"/>
        </w:rPr>
        <w:t>0m；</w:t>
      </w:r>
    </w:p>
    <w:p w14:paraId="40F18CBB">
      <w:pPr>
        <w:tabs>
          <w:tab w:val="left" w:pos="420"/>
        </w:tabs>
        <w:ind w:firstLine="560" w:firstLineChars="200"/>
        <w:jc w:val="left"/>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3</w:t>
      </w:r>
      <w:r>
        <w:rPr>
          <w:rFonts w:hint="default" w:ascii="Times New Roman" w:hAnsi="Times New Roman" w:eastAsia="仿宋" w:cs="Times New Roman"/>
          <w:color w:val="auto"/>
          <w:sz w:val="28"/>
          <w:szCs w:val="28"/>
          <w:highlight w:val="none"/>
          <w:u w:val="none"/>
          <w:lang w:val="en-US" w:eastAsia="zh-CN"/>
        </w:rPr>
        <w:t xml:space="preserve"> </w:t>
      </w:r>
      <w:r>
        <w:rPr>
          <w:rFonts w:hint="default" w:ascii="Times New Roman" w:hAnsi="Times New Roman" w:eastAsia="仿宋" w:cs="Times New Roman"/>
          <w:color w:val="auto"/>
          <w:sz w:val="28"/>
          <w:szCs w:val="28"/>
          <w:highlight w:val="none"/>
          <w:u w:val="none"/>
        </w:rPr>
        <w:t>当建筑高度在60m以上时</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住房单一方向不宜超过两个单元且总宽度不宜大于</w:t>
      </w:r>
      <w:r>
        <w:rPr>
          <w:rFonts w:hint="default" w:ascii="Times New Roman" w:hAnsi="Times New Roman" w:eastAsia="仿宋" w:cs="Times New Roman"/>
          <w:color w:val="auto"/>
          <w:sz w:val="28"/>
          <w:szCs w:val="28"/>
          <w:highlight w:val="none"/>
          <w:u w:val="none"/>
          <w:lang w:val="en-US" w:eastAsia="zh-CN"/>
        </w:rPr>
        <w:t>4</w:t>
      </w:r>
      <w:r>
        <w:rPr>
          <w:rFonts w:hint="default" w:ascii="Times New Roman" w:hAnsi="Times New Roman" w:eastAsia="仿宋" w:cs="Times New Roman"/>
          <w:color w:val="auto"/>
          <w:sz w:val="28"/>
          <w:szCs w:val="28"/>
          <w:highlight w:val="none"/>
          <w:u w:val="none"/>
        </w:rPr>
        <w:t>0m。</w:t>
      </w:r>
    </w:p>
    <w:p w14:paraId="292D0F45">
      <w:pPr>
        <w:numPr>
          <w:ilvl w:val="2"/>
          <w:numId w:val="5"/>
        </w:numPr>
        <w:ind w:firstLine="560" w:firstLineChars="200"/>
        <w:outlineLvl w:val="2"/>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sz w:val="28"/>
          <w:szCs w:val="28"/>
          <w:highlight w:val="none"/>
          <w:u w:val="none"/>
        </w:rPr>
        <w:t>住区应通过相邻地块及地块自身的高度设计</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塑造优美变化的天际轮廓线。注重城市、城镇重要节点、河流、廊道的天际线关系。临规划水系、开放公园绿地的住房宜以低、多层为主</w:t>
      </w:r>
      <w:r>
        <w:rPr>
          <w:rFonts w:hint="default" w:ascii="Times New Roman" w:hAnsi="Times New Roman" w:eastAsia="仿宋" w:cs="Times New Roman"/>
          <w:color w:val="auto"/>
          <w:sz w:val="28"/>
          <w:szCs w:val="28"/>
          <w:highlight w:val="none"/>
          <w:u w:val="none"/>
          <w:lang w:eastAsia="zh-CN"/>
        </w:rPr>
        <w:t>，</w:t>
      </w:r>
      <w:r>
        <w:rPr>
          <w:rFonts w:hint="default" w:ascii="Times New Roman" w:hAnsi="Times New Roman" w:eastAsia="仿宋" w:cs="Times New Roman"/>
          <w:color w:val="auto"/>
          <w:sz w:val="28"/>
          <w:szCs w:val="28"/>
          <w:highlight w:val="none"/>
          <w:u w:val="none"/>
        </w:rPr>
        <w:t>多个住房单元组合时宜形成与周边环境相适宜的天际线。</w:t>
      </w:r>
    </w:p>
    <w:p w14:paraId="09BA78CF">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临城市重要开敞空间或临红线宽度30m以上城市道路的住宅建筑，应进行建筑外立面公建化设计：</w:t>
      </w:r>
    </w:p>
    <w:p w14:paraId="10FF27E7">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建筑外立面阳台外缘至道路红线或绿线的距离不应小于建筑后退距离；</w:t>
      </w:r>
    </w:p>
    <w:p w14:paraId="20664AE0">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建筑外立面阳台应封闭，不宜设置外凸出挑式阳台。</w:t>
      </w:r>
    </w:p>
    <w:p w14:paraId="324912BF">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应选用耐脏、耐老化、易清洗的立面材料，并符合遂宁城市规划管理技术规定要求。涂料外墙应采用质感涂料、真实漆等增强立面质感与肌理；鼓励有条件的住区采用石材、陶板、金属板等富有质感且耐久性强的材料，并且组织好立面分隔、材质交接设计，体现细节的质感。住宅建筑底部（不少于一层）外立面宜选用（干挂）石材、金属、陶板等高品质外装饰材料。</w:t>
      </w:r>
    </w:p>
    <w:p w14:paraId="4150428F">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住区应遵循《遂宁市建筑第五立面设计导则》《</w:t>
      </w:r>
      <w:bookmarkStart w:id="23" w:name="OLE_LINK106"/>
      <w:bookmarkStart w:id="24" w:name="OLE_LINK105"/>
      <w:r>
        <w:rPr>
          <w:rFonts w:hint="default" w:ascii="Times New Roman" w:hAnsi="Times New Roman" w:eastAsia="仿宋" w:cs="Times New Roman"/>
          <w:b w:val="0"/>
          <w:bCs w:val="0"/>
          <w:color w:val="auto"/>
          <w:sz w:val="28"/>
          <w:szCs w:val="28"/>
          <w:highlight w:val="none"/>
          <w:lang w:val="en-US" w:eastAsia="zh-CN"/>
        </w:rPr>
        <w:t>遂宁市中心城区建筑第五立面技术指南（试行）</w:t>
      </w:r>
      <w:bookmarkEnd w:id="23"/>
      <w:bookmarkEnd w:id="24"/>
      <w:r>
        <w:rPr>
          <w:rFonts w:hint="default" w:ascii="Times New Roman" w:hAnsi="Times New Roman" w:eastAsia="仿宋" w:cs="Times New Roman"/>
          <w:b w:val="0"/>
          <w:bCs w:val="0"/>
          <w:color w:val="auto"/>
          <w:sz w:val="28"/>
          <w:szCs w:val="28"/>
          <w:highlight w:val="none"/>
          <w:lang w:val="en-US" w:eastAsia="zh-CN"/>
        </w:rPr>
        <w:t>》要求，结合老旧小区改造、城市更新等工程，通过屋顶净化、序化、彩化、绿化、坡化等专项行动，打造空中花园屋顶、彩绘屋顶、体育+文化屋顶等多元化特色示范屋顶。屋顶设备应结合建筑整体造型统一规划且布局紧凑，宜利用格栅构架、植被绿化、坡屋顶装饰等方式遮蔽或美化处理，不应裸露布局。禁止在建筑屋顶、露台处等擅自搭建各类建筑物或附属设施，禁止影响结构安全与住区整体风貌。</w:t>
      </w:r>
    </w:p>
    <w:p w14:paraId="1F39655E">
      <w:pPr>
        <w:spacing w:line="360" w:lineRule="auto"/>
        <w:jc w:val="center"/>
        <w:rPr>
          <w:rFonts w:hint="default" w:ascii="Times New Roman" w:hAnsi="Times New Roman" w:eastAsia="宋体" w:cs="Times New Roman"/>
          <w:highlight w:val="yellow"/>
        </w:rPr>
      </w:pPr>
      <w:r>
        <w:rPr>
          <w:rFonts w:hint="default" w:ascii="Times New Roman" w:hAnsi="Times New Roman" w:cs="Times New Roman"/>
        </w:rPr>
        <w:drawing>
          <wp:inline distT="0" distB="0" distL="114300" distR="114300">
            <wp:extent cx="3176270" cy="1511300"/>
            <wp:effectExtent l="0" t="0" r="5080" b="1270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13"/>
                    <a:srcRect t="4686"/>
                    <a:stretch>
                      <a:fillRect/>
                    </a:stretch>
                  </pic:blipFill>
                  <pic:spPr>
                    <a:xfrm>
                      <a:off x="0" y="0"/>
                      <a:ext cx="3176270" cy="1511300"/>
                    </a:xfrm>
                    <a:prstGeom prst="rect">
                      <a:avLst/>
                    </a:prstGeom>
                  </pic:spPr>
                </pic:pic>
              </a:graphicData>
            </a:graphic>
          </wp:inline>
        </w:drawing>
      </w:r>
      <w:r>
        <w:rPr>
          <w:rFonts w:hint="default" w:ascii="Times New Roman" w:hAnsi="Times New Roman" w:eastAsia="宋体" w:cs="Times New Roman"/>
          <w:highlight w:val="yellow"/>
        </w:rPr>
        <w:drawing>
          <wp:inline distT="0" distB="0" distL="114300" distR="114300">
            <wp:extent cx="2032635" cy="1488440"/>
            <wp:effectExtent l="0" t="0" r="5715" b="16510"/>
            <wp:docPr id="27" name="图片 27" descr="DJI_20240815161916_0007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JI_20240815161916_0007_V"/>
                    <pic:cNvPicPr>
                      <a:picLocks noChangeAspect="1"/>
                    </pic:cNvPicPr>
                  </pic:nvPicPr>
                  <pic:blipFill>
                    <a:blip r:embed="rId14"/>
                    <a:srcRect t="2333"/>
                    <a:stretch>
                      <a:fillRect/>
                    </a:stretch>
                  </pic:blipFill>
                  <pic:spPr>
                    <a:xfrm>
                      <a:off x="0" y="0"/>
                      <a:ext cx="2032635" cy="1488440"/>
                    </a:xfrm>
                    <a:prstGeom prst="rect">
                      <a:avLst/>
                    </a:prstGeom>
                  </pic:spPr>
                </pic:pic>
              </a:graphicData>
            </a:graphic>
          </wp:inline>
        </w:drawing>
      </w:r>
    </w:p>
    <w:p w14:paraId="4C180130">
      <w:pPr>
        <w:tabs>
          <w:tab w:val="left" w:pos="420"/>
        </w:tabs>
        <w:ind w:firstLine="560" w:firstLineChars="20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图2-2-</w:t>
      </w:r>
      <w:r>
        <w:rPr>
          <w:rFonts w:hint="default" w:ascii="Times New Roman" w:hAnsi="Times New Roman" w:eastAsia="仿宋" w:cs="Times New Roman"/>
          <w:sz w:val="28"/>
          <w:szCs w:val="28"/>
          <w:lang w:val="en-GB" w:eastAsia="zh-CN"/>
        </w:rPr>
        <w:t>2</w:t>
      </w:r>
      <w:r>
        <w:rPr>
          <w:rFonts w:hint="default" w:ascii="Times New Roman" w:hAnsi="Times New Roman" w:eastAsia="仿宋" w:cs="Times New Roman"/>
          <w:sz w:val="28"/>
          <w:szCs w:val="28"/>
        </w:rPr>
        <w:t>住宅第五立面改造示意图</w:t>
      </w:r>
    </w:p>
    <w:p w14:paraId="108F9E47">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374900" cy="1299210"/>
            <wp:effectExtent l="0" t="0" r="6350" b="152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5"/>
                    <a:srcRect b="45577"/>
                    <a:stretch>
                      <a:fillRect/>
                    </a:stretch>
                  </pic:blipFill>
                  <pic:spPr>
                    <a:xfrm>
                      <a:off x="0" y="0"/>
                      <a:ext cx="2374900" cy="129921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760345" cy="1276985"/>
            <wp:effectExtent l="0" t="0" r="1905" b="1841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5"/>
                    <a:srcRect t="53992"/>
                    <a:stretch>
                      <a:fillRect/>
                    </a:stretch>
                  </pic:blipFill>
                  <pic:spPr>
                    <a:xfrm>
                      <a:off x="0" y="0"/>
                      <a:ext cx="2760345" cy="1276985"/>
                    </a:xfrm>
                    <a:prstGeom prst="rect">
                      <a:avLst/>
                    </a:prstGeom>
                    <a:noFill/>
                    <a:ln>
                      <a:noFill/>
                    </a:ln>
                  </pic:spPr>
                </pic:pic>
              </a:graphicData>
            </a:graphic>
          </wp:inline>
        </w:drawing>
      </w:r>
    </w:p>
    <w:p w14:paraId="6A0620B8">
      <w:pPr>
        <w:tabs>
          <w:tab w:val="left" w:pos="420"/>
        </w:tabs>
        <w:ind w:firstLine="560" w:firstLineChars="20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图2-2-</w:t>
      </w:r>
      <w:r>
        <w:rPr>
          <w:rFonts w:hint="default" w:ascii="Times New Roman" w:hAnsi="Times New Roman" w:eastAsia="仿宋" w:cs="Times New Roman"/>
          <w:sz w:val="28"/>
          <w:szCs w:val="28"/>
          <w:lang w:val="en-GB" w:eastAsia="zh-CN"/>
        </w:rPr>
        <w:t>3</w:t>
      </w:r>
      <w:r>
        <w:rPr>
          <w:rFonts w:hint="default" w:ascii="Times New Roman" w:hAnsi="Times New Roman" w:eastAsia="仿宋" w:cs="Times New Roman"/>
          <w:sz w:val="28"/>
          <w:szCs w:val="28"/>
        </w:rPr>
        <w:t>屋顶彩钢棚整治措施示意图</w:t>
      </w:r>
    </w:p>
    <w:p w14:paraId="4AAE0CF5">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住区建筑应统筹考虑采光视野与立面风格的表达形式，不应使用玻璃幕墙。须合理选择幕墙材质，减少眩光、注重保温隔热、隔声与气密性能。</w:t>
      </w:r>
    </w:p>
    <w:p w14:paraId="3F8A1995">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住区附属设施、设备应与周边环境、建筑统一设计，形成完整的风貌：</w:t>
      </w:r>
    </w:p>
    <w:p w14:paraId="7131012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总平面中突出地面的井道和楼梯间等建（构）筑物应与建筑本体风貌协调设计；</w:t>
      </w:r>
    </w:p>
    <w:p w14:paraId="2D914FD4">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空调室外机、太阳能热水器、屋顶水塔和通讯设备等附属设施应结合建筑外立面统一设计；</w:t>
      </w:r>
    </w:p>
    <w:p w14:paraId="7312650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管网柜、变配电房、燃气调压站、垃圾收集点等室外设备、设施应结合景观小品、标识等进行一体化设计，距离住户主要归家动线道路的最近边缘不应小于1.5m，宜进行遮蔽化、景观化处理，并满足设备正常使用需求与防火要求</w:t>
      </w:r>
      <w:r>
        <w:rPr>
          <w:rFonts w:hint="eastAsia" w:ascii="Times New Roman" w:hAnsi="Times New Roman" w:eastAsia="仿宋" w:cs="Times New Roman"/>
          <w:b w:val="0"/>
          <w:bCs w:val="0"/>
          <w:color w:val="auto"/>
          <w:sz w:val="28"/>
          <w:szCs w:val="28"/>
          <w:highlight w:val="none"/>
          <w:lang w:val="en-US" w:eastAsia="zh-CN"/>
        </w:rPr>
        <w:t>；</w:t>
      </w:r>
    </w:p>
    <w:p w14:paraId="148CE7E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电力、污雨水、燃气、弱电等各类机电设备检查井不应布置在住户主要归家动线上，不可避免时应进行隐蔽处理。</w:t>
      </w:r>
    </w:p>
    <w:p w14:paraId="61DA52A4">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住区应通过多元化方式强化与周边环境的开放融合，加强街道和建筑界面的一体化设计：</w:t>
      </w:r>
    </w:p>
    <w:p w14:paraId="4B0EDA1A">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住区应弱化实体围墙建设，宜使用透空栏杆、通透性围墙、绿篱等软隔断方式，加强住区景观的视线通透度，提升公共界面的绿化感知度；</w:t>
      </w:r>
    </w:p>
    <w:p w14:paraId="43B4FDEA">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新建的住区应统筹考虑建筑退界与规划绿地的景观环境效果，宜结合主入口以及商业服务空间沿街布局附属绿地，打造功能复合、界面通透的亲绿宜人空间</w:t>
      </w:r>
      <w:r>
        <w:rPr>
          <w:rFonts w:hint="eastAsia" w:ascii="Times New Roman" w:hAnsi="Times New Roman" w:eastAsia="仿宋" w:cs="Times New Roman"/>
          <w:b w:val="0"/>
          <w:bCs w:val="0"/>
          <w:color w:val="auto"/>
          <w:sz w:val="28"/>
          <w:szCs w:val="28"/>
          <w:highlight w:val="none"/>
          <w:lang w:val="en-US" w:eastAsia="zh-CN"/>
        </w:rPr>
        <w:t>；</w:t>
      </w:r>
    </w:p>
    <w:p w14:paraId="797E6374">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住区建设应合理确定场地高程，当场地与周边现状高差过大时，应进行景观化放坡处理，确需设置挡墙的，底层挡墙的高度不宜高于1.5m。当与城市道路或相邻地块之间高差较大时应采取有效的防倒灌措施。</w:t>
      </w:r>
    </w:p>
    <w:p w14:paraId="7CF8A2A1">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住区景观照明应遵循《遂宁市城市景观照明控制导则》，应保证光环境质量、控制光污染产生，并需符合下列规定：</w:t>
      </w:r>
    </w:p>
    <w:p w14:paraId="46D1696B">
      <w:pPr>
        <w:tabs>
          <w:tab w:val="left" w:pos="420"/>
        </w:tabs>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w:t>
      </w:r>
      <w:r>
        <w:rPr>
          <w:rFonts w:hint="eastAsia"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室外夜景照明光污染限值应符合现行国家标准《室外照明干扰光限制规范》GB/T 35626和现行行业标准《城市夜景照明设计规范》JGJ/T163的规定；住区应统筹考虑科学应对周边幕墙等高反射率表面材质的建筑、较大功率的照明设备等带来的光污染影响。户外照明在住房外窗表面上产生的垂直照度不应大于表</w:t>
      </w:r>
      <w:r>
        <w:rPr>
          <w:rFonts w:hint="default" w:ascii="Times New Roman" w:hAnsi="Times New Roman" w:eastAsia="仿宋" w:cs="Times New Roman"/>
          <w:color w:val="auto"/>
          <w:sz w:val="28"/>
          <w:szCs w:val="28"/>
          <w:highlight w:val="none"/>
          <w:lang w:val="en-GB"/>
        </w:rPr>
        <w:t>2.2.4</w:t>
      </w:r>
      <w:r>
        <w:rPr>
          <w:rFonts w:hint="default" w:ascii="Times New Roman" w:hAnsi="Times New Roman" w:eastAsia="仿宋" w:cs="Times New Roman"/>
          <w:color w:val="auto"/>
          <w:sz w:val="28"/>
          <w:szCs w:val="28"/>
          <w:highlight w:val="none"/>
        </w:rPr>
        <w:t>的规定值；</w:t>
      </w:r>
    </w:p>
    <w:p w14:paraId="15132AD7">
      <w:pPr>
        <w:spacing w:line="360" w:lineRule="auto"/>
        <w:jc w:val="center"/>
        <w:rPr>
          <w:rFonts w:hint="default" w:ascii="Times New Roman" w:hAnsi="Times New Roman" w:eastAsia="仿宋" w:cs="Times New Roman"/>
          <w:b/>
          <w:bCs/>
          <w:color w:val="auto"/>
          <w:sz w:val="28"/>
          <w:szCs w:val="28"/>
          <w:highlight w:val="none"/>
          <w:lang w:bidi="ar"/>
        </w:rPr>
      </w:pPr>
      <w:r>
        <w:rPr>
          <w:rFonts w:hint="default" w:ascii="Times New Roman" w:hAnsi="Times New Roman" w:eastAsia="仿宋" w:cs="Times New Roman"/>
          <w:b/>
          <w:bCs/>
          <w:color w:val="auto"/>
          <w:sz w:val="28"/>
          <w:szCs w:val="28"/>
          <w:highlight w:val="none"/>
          <w:lang w:bidi="ar"/>
        </w:rPr>
        <w:t>表2.2.</w:t>
      </w:r>
      <w:r>
        <w:rPr>
          <w:rFonts w:hint="default" w:ascii="Times New Roman" w:hAnsi="Times New Roman" w:eastAsia="仿宋" w:cs="Times New Roman"/>
          <w:b/>
          <w:bCs/>
          <w:color w:val="auto"/>
          <w:sz w:val="28"/>
          <w:szCs w:val="28"/>
          <w:highlight w:val="none"/>
          <w:lang w:val="en-GB" w:bidi="ar"/>
        </w:rPr>
        <w:t>4</w:t>
      </w:r>
      <w:r>
        <w:rPr>
          <w:rFonts w:hint="default" w:ascii="Times New Roman" w:hAnsi="Times New Roman" w:eastAsia="仿宋" w:cs="Times New Roman"/>
          <w:b/>
          <w:bCs/>
          <w:color w:val="auto"/>
          <w:sz w:val="28"/>
          <w:szCs w:val="28"/>
          <w:highlight w:val="none"/>
          <w:lang w:bidi="ar"/>
        </w:rPr>
        <w:t xml:space="preserve"> 居住空间窗户外表面的垂直照度最大允许值</w:t>
      </w:r>
    </w:p>
    <w:tbl>
      <w:tblPr>
        <w:tblStyle w:val="10"/>
        <w:tblW w:w="5000" w:type="pct"/>
        <w:tblInd w:w="0" w:type="dxa"/>
        <w:tblLayout w:type="autofit"/>
        <w:tblCellMar>
          <w:top w:w="0" w:type="dxa"/>
          <w:left w:w="108" w:type="dxa"/>
          <w:bottom w:w="0" w:type="dxa"/>
          <w:right w:w="108" w:type="dxa"/>
        </w:tblCellMar>
      </w:tblPr>
      <w:tblGrid>
        <w:gridCol w:w="4013"/>
        <w:gridCol w:w="1545"/>
        <w:gridCol w:w="1547"/>
        <w:gridCol w:w="1545"/>
        <w:gridCol w:w="1539"/>
      </w:tblGrid>
      <w:tr w14:paraId="4694ABBC">
        <w:tblPrEx>
          <w:tblCellMar>
            <w:top w:w="0" w:type="dxa"/>
            <w:left w:w="108" w:type="dxa"/>
            <w:bottom w:w="0" w:type="dxa"/>
            <w:right w:w="108" w:type="dxa"/>
          </w:tblCellMar>
        </w:tblPrEx>
        <w:trPr>
          <w:trHeight w:val="285" w:hRule="atLeast"/>
        </w:trPr>
        <w:tc>
          <w:tcPr>
            <w:tcW w:w="1970" w:type="pct"/>
            <w:vMerge w:val="restart"/>
            <w:tcBorders>
              <w:top w:val="single" w:color="000000" w:sz="4" w:space="0"/>
              <w:left w:val="single" w:color="000000" w:sz="4" w:space="0"/>
              <w:bottom w:val="nil"/>
              <w:right w:val="single" w:color="000000" w:sz="4" w:space="0"/>
            </w:tcBorders>
            <w:noWrap/>
            <w:vAlign w:val="center"/>
          </w:tcPr>
          <w:p w14:paraId="269DC724">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时段</w:t>
            </w:r>
          </w:p>
        </w:tc>
        <w:tc>
          <w:tcPr>
            <w:tcW w:w="3030" w:type="pct"/>
            <w:gridSpan w:val="4"/>
            <w:tcBorders>
              <w:top w:val="single" w:color="000000" w:sz="4" w:space="0"/>
              <w:left w:val="nil"/>
              <w:bottom w:val="single" w:color="000000" w:sz="4" w:space="0"/>
              <w:right w:val="single" w:color="000000" w:sz="4" w:space="0"/>
            </w:tcBorders>
            <w:noWrap/>
            <w:vAlign w:val="center"/>
          </w:tcPr>
          <w:p w14:paraId="56854DC2">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环境区域</w:t>
            </w:r>
          </w:p>
        </w:tc>
      </w:tr>
      <w:tr w14:paraId="2E37060A">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nil"/>
              <w:right w:val="single" w:color="000000" w:sz="4" w:space="0"/>
            </w:tcBorders>
            <w:vAlign w:val="center"/>
          </w:tcPr>
          <w:p w14:paraId="65E8062A">
            <w:pPr>
              <w:widowControl/>
              <w:jc w:val="left"/>
              <w:rPr>
                <w:rFonts w:hint="default" w:ascii="Times New Roman" w:hAnsi="Times New Roman" w:eastAsia="仿宋" w:cs="Times New Roman"/>
                <w:color w:val="auto"/>
                <w:sz w:val="28"/>
                <w:szCs w:val="28"/>
                <w:highlight w:val="none"/>
              </w:rPr>
            </w:pPr>
          </w:p>
        </w:tc>
        <w:tc>
          <w:tcPr>
            <w:tcW w:w="758" w:type="pct"/>
            <w:tcBorders>
              <w:top w:val="single" w:color="000000" w:sz="4" w:space="0"/>
              <w:left w:val="nil"/>
              <w:bottom w:val="single" w:color="000000" w:sz="4" w:space="0"/>
              <w:right w:val="single" w:color="000000" w:sz="4" w:space="0"/>
            </w:tcBorders>
            <w:noWrap/>
            <w:vAlign w:val="center"/>
          </w:tcPr>
          <w:p w14:paraId="2FED81A8">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E0、E1</w:t>
            </w:r>
          </w:p>
        </w:tc>
        <w:tc>
          <w:tcPr>
            <w:tcW w:w="759" w:type="pct"/>
            <w:tcBorders>
              <w:top w:val="single" w:color="000000" w:sz="4" w:space="0"/>
              <w:left w:val="nil"/>
              <w:bottom w:val="single" w:color="000000" w:sz="4" w:space="0"/>
              <w:right w:val="single" w:color="000000" w:sz="4" w:space="0"/>
            </w:tcBorders>
            <w:noWrap/>
            <w:vAlign w:val="center"/>
          </w:tcPr>
          <w:p w14:paraId="15DE25E0">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E2</w:t>
            </w:r>
          </w:p>
        </w:tc>
        <w:tc>
          <w:tcPr>
            <w:tcW w:w="758" w:type="pct"/>
            <w:tcBorders>
              <w:top w:val="single" w:color="000000" w:sz="4" w:space="0"/>
              <w:left w:val="nil"/>
              <w:bottom w:val="single" w:color="000000" w:sz="4" w:space="0"/>
              <w:right w:val="single" w:color="000000" w:sz="4" w:space="0"/>
            </w:tcBorders>
            <w:noWrap/>
            <w:vAlign w:val="center"/>
          </w:tcPr>
          <w:p w14:paraId="2B8A579B">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E3</w:t>
            </w:r>
          </w:p>
        </w:tc>
        <w:tc>
          <w:tcPr>
            <w:tcW w:w="755" w:type="pct"/>
            <w:tcBorders>
              <w:top w:val="single" w:color="000000" w:sz="4" w:space="0"/>
              <w:left w:val="nil"/>
              <w:bottom w:val="single" w:color="000000" w:sz="4" w:space="0"/>
              <w:right w:val="single" w:color="000000" w:sz="4" w:space="0"/>
            </w:tcBorders>
            <w:noWrap/>
            <w:vAlign w:val="center"/>
          </w:tcPr>
          <w:p w14:paraId="03ED6CEB">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E4</w:t>
            </w:r>
          </w:p>
        </w:tc>
      </w:tr>
      <w:tr w14:paraId="1D309C28">
        <w:tblPrEx>
          <w:tblCellMar>
            <w:top w:w="0" w:type="dxa"/>
            <w:left w:w="108" w:type="dxa"/>
            <w:bottom w:w="0" w:type="dxa"/>
            <w:right w:w="108" w:type="dxa"/>
          </w:tblCellMar>
        </w:tblPrEx>
        <w:trPr>
          <w:trHeight w:val="285" w:hRule="atLeast"/>
        </w:trPr>
        <w:tc>
          <w:tcPr>
            <w:tcW w:w="1970" w:type="pct"/>
            <w:tcBorders>
              <w:top w:val="single" w:color="000000" w:sz="4" w:space="0"/>
              <w:left w:val="single" w:color="000000" w:sz="4" w:space="0"/>
              <w:bottom w:val="single" w:color="000000" w:sz="4" w:space="0"/>
              <w:right w:val="single" w:color="000000" w:sz="4" w:space="0"/>
            </w:tcBorders>
            <w:noWrap/>
            <w:vAlign w:val="center"/>
          </w:tcPr>
          <w:p w14:paraId="69A761DE">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非熄灯时段垂直面照度Ev(lx)</w:t>
            </w:r>
          </w:p>
        </w:tc>
        <w:tc>
          <w:tcPr>
            <w:tcW w:w="758" w:type="pct"/>
            <w:tcBorders>
              <w:top w:val="single" w:color="000000" w:sz="4" w:space="0"/>
              <w:left w:val="nil"/>
              <w:bottom w:val="single" w:color="000000" w:sz="4" w:space="0"/>
              <w:right w:val="single" w:color="000000" w:sz="4" w:space="0"/>
            </w:tcBorders>
            <w:noWrap/>
            <w:vAlign w:val="center"/>
          </w:tcPr>
          <w:p w14:paraId="17754D70">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tc>
        <w:tc>
          <w:tcPr>
            <w:tcW w:w="759" w:type="pct"/>
            <w:tcBorders>
              <w:top w:val="single" w:color="000000" w:sz="4" w:space="0"/>
              <w:left w:val="nil"/>
              <w:bottom w:val="single" w:color="000000" w:sz="4" w:space="0"/>
              <w:right w:val="single" w:color="000000" w:sz="4" w:space="0"/>
            </w:tcBorders>
            <w:noWrap/>
            <w:vAlign w:val="center"/>
          </w:tcPr>
          <w:p w14:paraId="7D3524BF">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c>
          <w:tcPr>
            <w:tcW w:w="758" w:type="pct"/>
            <w:tcBorders>
              <w:top w:val="single" w:color="000000" w:sz="4" w:space="0"/>
              <w:left w:val="nil"/>
              <w:bottom w:val="single" w:color="000000" w:sz="4" w:space="0"/>
              <w:right w:val="single" w:color="000000" w:sz="4" w:space="0"/>
            </w:tcBorders>
            <w:noWrap/>
            <w:vAlign w:val="center"/>
          </w:tcPr>
          <w:p w14:paraId="7A001A4F">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w:t>
            </w:r>
          </w:p>
        </w:tc>
        <w:tc>
          <w:tcPr>
            <w:tcW w:w="755" w:type="pct"/>
            <w:tcBorders>
              <w:top w:val="single" w:color="000000" w:sz="4" w:space="0"/>
              <w:left w:val="nil"/>
              <w:bottom w:val="single" w:color="000000" w:sz="4" w:space="0"/>
              <w:right w:val="single" w:color="000000" w:sz="4" w:space="0"/>
            </w:tcBorders>
            <w:noWrap/>
            <w:vAlign w:val="center"/>
          </w:tcPr>
          <w:p w14:paraId="287AEF2C">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25</w:t>
            </w:r>
          </w:p>
        </w:tc>
      </w:tr>
      <w:tr w14:paraId="76DA0BEE">
        <w:tblPrEx>
          <w:tblCellMar>
            <w:top w:w="0" w:type="dxa"/>
            <w:left w:w="108" w:type="dxa"/>
            <w:bottom w:w="0" w:type="dxa"/>
            <w:right w:w="108" w:type="dxa"/>
          </w:tblCellMar>
        </w:tblPrEx>
        <w:trPr>
          <w:trHeight w:val="285" w:hRule="atLeast"/>
        </w:trPr>
        <w:tc>
          <w:tcPr>
            <w:tcW w:w="1970" w:type="pct"/>
            <w:tcBorders>
              <w:top w:val="single" w:color="000000" w:sz="4" w:space="0"/>
              <w:left w:val="single" w:color="000000" w:sz="4" w:space="0"/>
              <w:bottom w:val="single" w:color="000000" w:sz="4" w:space="0"/>
              <w:right w:val="single" w:color="000000" w:sz="4" w:space="0"/>
            </w:tcBorders>
            <w:noWrap/>
            <w:vAlign w:val="center"/>
          </w:tcPr>
          <w:p w14:paraId="112B9158">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熄灯时段垂直面照度Ev(lx)</w:t>
            </w:r>
          </w:p>
        </w:tc>
        <w:tc>
          <w:tcPr>
            <w:tcW w:w="758" w:type="pct"/>
            <w:tcBorders>
              <w:top w:val="single" w:color="000000" w:sz="4" w:space="0"/>
              <w:left w:val="nil"/>
              <w:bottom w:val="single" w:color="000000" w:sz="4" w:space="0"/>
              <w:right w:val="single" w:color="000000" w:sz="4" w:space="0"/>
            </w:tcBorders>
            <w:noWrap/>
            <w:vAlign w:val="center"/>
          </w:tcPr>
          <w:p w14:paraId="1591F33E">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0*</w:t>
            </w:r>
          </w:p>
        </w:tc>
        <w:tc>
          <w:tcPr>
            <w:tcW w:w="759" w:type="pct"/>
            <w:tcBorders>
              <w:top w:val="single" w:color="000000" w:sz="4" w:space="0"/>
              <w:left w:val="nil"/>
              <w:bottom w:val="single" w:color="000000" w:sz="4" w:space="0"/>
              <w:right w:val="single" w:color="000000" w:sz="4" w:space="0"/>
            </w:tcBorders>
            <w:noWrap/>
            <w:vAlign w:val="center"/>
          </w:tcPr>
          <w:p w14:paraId="3BC5F409">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w:t>
            </w:r>
          </w:p>
        </w:tc>
        <w:tc>
          <w:tcPr>
            <w:tcW w:w="758" w:type="pct"/>
            <w:tcBorders>
              <w:top w:val="single" w:color="000000" w:sz="4" w:space="0"/>
              <w:left w:val="nil"/>
              <w:bottom w:val="single" w:color="000000" w:sz="4" w:space="0"/>
              <w:right w:val="single" w:color="000000" w:sz="4" w:space="0"/>
            </w:tcBorders>
            <w:noWrap/>
            <w:vAlign w:val="center"/>
          </w:tcPr>
          <w:p w14:paraId="0F810693">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tc>
        <w:tc>
          <w:tcPr>
            <w:tcW w:w="755" w:type="pct"/>
            <w:tcBorders>
              <w:top w:val="single" w:color="000000" w:sz="4" w:space="0"/>
              <w:left w:val="nil"/>
              <w:bottom w:val="single" w:color="000000" w:sz="4" w:space="0"/>
              <w:right w:val="single" w:color="000000" w:sz="4" w:space="0"/>
            </w:tcBorders>
            <w:noWrap/>
            <w:vAlign w:val="center"/>
          </w:tcPr>
          <w:p w14:paraId="024E9B4B">
            <w:pPr>
              <w:widowControl/>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r>
    </w:tbl>
    <w:p w14:paraId="5C68CBB2">
      <w:pPr>
        <w:spacing w:line="40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注：*当有公共（道路）照明时</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此值提高到1lx。</w:t>
      </w:r>
    </w:p>
    <w:p w14:paraId="3146531B">
      <w:pPr>
        <w:tabs>
          <w:tab w:val="left" w:pos="420"/>
        </w:tabs>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r>
        <w:rPr>
          <w:rFonts w:hint="eastAsia"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住区项目应根据城镇区域功能性质与环境亮度分区统筹考虑功能性照明和景观照明</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照明方式可参照表</w:t>
      </w:r>
      <w:r>
        <w:rPr>
          <w:rFonts w:hint="default" w:ascii="Times New Roman" w:hAnsi="Times New Roman" w:eastAsia="仿宋" w:cs="Times New Roman"/>
          <w:color w:val="auto"/>
          <w:sz w:val="28"/>
          <w:szCs w:val="28"/>
          <w:highlight w:val="none"/>
          <w:lang w:val="en-GB"/>
        </w:rPr>
        <w:t>2</w:t>
      </w:r>
      <w:r>
        <w:rPr>
          <w:rFonts w:hint="default" w:ascii="Times New Roman" w:hAnsi="Times New Roman" w:eastAsia="仿宋" w:cs="Times New Roman"/>
          <w:color w:val="auto"/>
          <w:sz w:val="28"/>
          <w:szCs w:val="28"/>
          <w:highlight w:val="none"/>
        </w:rPr>
        <w:t>.2.</w:t>
      </w:r>
      <w:r>
        <w:rPr>
          <w:rFonts w:hint="default" w:ascii="Times New Roman" w:hAnsi="Times New Roman" w:eastAsia="仿宋" w:cs="Times New Roman"/>
          <w:color w:val="auto"/>
          <w:sz w:val="28"/>
          <w:szCs w:val="28"/>
          <w:highlight w:val="none"/>
          <w:lang w:val="en-GB"/>
        </w:rPr>
        <w:t>5</w:t>
      </w:r>
      <w:r>
        <w:rPr>
          <w:rFonts w:hint="default" w:ascii="Times New Roman" w:hAnsi="Times New Roman" w:eastAsia="仿宋" w:cs="Times New Roman"/>
          <w:color w:val="auto"/>
          <w:sz w:val="28"/>
          <w:szCs w:val="28"/>
          <w:highlight w:val="none"/>
        </w:rPr>
        <w:t>执行。应注重协调主体建筑与周边城市关系、进行夜景照明的一体化设计。宜采用间接式投光照明、局部轮廓照明、内透光照明等方式提供舒适柔和的照明方案</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避免直接对户内产生光污染</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鼓励实行差异化外观照明分时管理策略；</w:t>
      </w:r>
    </w:p>
    <w:p w14:paraId="6563CFC9">
      <w:pPr>
        <w:spacing w:line="360" w:lineRule="auto"/>
        <w:jc w:val="center"/>
        <w:rPr>
          <w:rFonts w:hint="default" w:ascii="Times New Roman" w:hAnsi="Times New Roman" w:eastAsia="仿宋" w:cs="Times New Roman"/>
          <w:b/>
          <w:bCs/>
          <w:color w:val="auto"/>
          <w:sz w:val="28"/>
          <w:szCs w:val="28"/>
          <w:highlight w:val="none"/>
          <w:lang w:bidi="ar"/>
        </w:rPr>
      </w:pPr>
      <w:r>
        <w:rPr>
          <w:rFonts w:hint="default" w:ascii="Times New Roman" w:hAnsi="Times New Roman" w:eastAsia="仿宋" w:cs="Times New Roman"/>
          <w:b/>
          <w:bCs/>
          <w:color w:val="auto"/>
          <w:sz w:val="28"/>
          <w:szCs w:val="28"/>
          <w:highlight w:val="none"/>
          <w:lang w:bidi="ar"/>
        </w:rPr>
        <w:t>表</w:t>
      </w:r>
      <w:r>
        <w:rPr>
          <w:rFonts w:hint="default" w:ascii="Times New Roman" w:hAnsi="Times New Roman" w:eastAsia="仿宋" w:cs="Times New Roman"/>
          <w:b/>
          <w:bCs/>
          <w:color w:val="auto"/>
          <w:sz w:val="28"/>
          <w:szCs w:val="28"/>
          <w:highlight w:val="none"/>
          <w:lang w:val="en-GB" w:bidi="ar"/>
        </w:rPr>
        <w:t>2</w:t>
      </w:r>
      <w:r>
        <w:rPr>
          <w:rFonts w:hint="default" w:ascii="Times New Roman" w:hAnsi="Times New Roman" w:eastAsia="仿宋" w:cs="Times New Roman"/>
          <w:b/>
          <w:bCs/>
          <w:color w:val="auto"/>
          <w:sz w:val="28"/>
          <w:szCs w:val="28"/>
          <w:highlight w:val="none"/>
          <w:lang w:bidi="ar"/>
        </w:rPr>
        <w:t>.2.</w:t>
      </w:r>
      <w:r>
        <w:rPr>
          <w:rFonts w:hint="default" w:ascii="Times New Roman" w:hAnsi="Times New Roman" w:eastAsia="仿宋" w:cs="Times New Roman"/>
          <w:b/>
          <w:bCs/>
          <w:color w:val="auto"/>
          <w:sz w:val="28"/>
          <w:szCs w:val="28"/>
          <w:highlight w:val="none"/>
          <w:lang w:val="en-GB" w:bidi="ar"/>
        </w:rPr>
        <w:t>5</w:t>
      </w:r>
      <w:r>
        <w:rPr>
          <w:rFonts w:hint="default" w:ascii="Times New Roman" w:hAnsi="Times New Roman" w:eastAsia="仿宋" w:cs="Times New Roman"/>
          <w:b/>
          <w:bCs/>
          <w:color w:val="auto"/>
          <w:sz w:val="28"/>
          <w:szCs w:val="28"/>
          <w:highlight w:val="none"/>
          <w:lang w:bidi="ar"/>
        </w:rPr>
        <w:t xml:space="preserve"> 环境分区与照明方式</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01"/>
        <w:gridCol w:w="2609"/>
        <w:gridCol w:w="3256"/>
        <w:gridCol w:w="2923"/>
      </w:tblGrid>
      <w:tr w14:paraId="6B92D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619D4EB1">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区域代号</w:t>
            </w:r>
          </w:p>
        </w:tc>
        <w:tc>
          <w:tcPr>
            <w:tcW w:w="1280" w:type="pct"/>
            <w:tcBorders>
              <w:top w:val="single" w:color="000000" w:sz="4" w:space="0"/>
              <w:left w:val="single" w:color="000000" w:sz="4" w:space="0"/>
              <w:bottom w:val="single" w:color="000000" w:sz="4" w:space="0"/>
              <w:right w:val="single" w:color="000000" w:sz="4" w:space="0"/>
            </w:tcBorders>
            <w:vAlign w:val="center"/>
          </w:tcPr>
          <w:p w14:paraId="4A04C8CC">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环境亮度类型</w:t>
            </w:r>
          </w:p>
        </w:tc>
        <w:tc>
          <w:tcPr>
            <w:tcW w:w="1597" w:type="pct"/>
            <w:tcBorders>
              <w:top w:val="single" w:color="000000" w:sz="4" w:space="0"/>
              <w:left w:val="single" w:color="000000" w:sz="4" w:space="0"/>
              <w:bottom w:val="single" w:color="000000" w:sz="4" w:space="0"/>
              <w:right w:val="single" w:color="000000" w:sz="4" w:space="0"/>
            </w:tcBorders>
            <w:vAlign w:val="center"/>
          </w:tcPr>
          <w:p w14:paraId="7F1DD387">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对应区域</w:t>
            </w:r>
          </w:p>
        </w:tc>
        <w:tc>
          <w:tcPr>
            <w:tcW w:w="1434" w:type="pct"/>
            <w:tcBorders>
              <w:top w:val="single" w:color="000000" w:sz="4" w:space="0"/>
              <w:left w:val="single" w:color="000000" w:sz="4" w:space="0"/>
              <w:bottom w:val="single" w:color="000000" w:sz="4" w:space="0"/>
              <w:right w:val="single" w:color="000000" w:sz="4" w:space="0"/>
            </w:tcBorders>
          </w:tcPr>
          <w:p w14:paraId="25F40086">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照明方式</w:t>
            </w:r>
          </w:p>
        </w:tc>
      </w:tr>
      <w:tr w14:paraId="78F8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7E2C966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E0</w:t>
            </w:r>
          </w:p>
        </w:tc>
        <w:tc>
          <w:tcPr>
            <w:tcW w:w="1280" w:type="pct"/>
            <w:tcBorders>
              <w:top w:val="single" w:color="000000" w:sz="4" w:space="0"/>
              <w:left w:val="single" w:color="000000" w:sz="4" w:space="0"/>
              <w:bottom w:val="single" w:color="000000" w:sz="4" w:space="0"/>
              <w:right w:val="single" w:color="000000" w:sz="4" w:space="0"/>
            </w:tcBorders>
            <w:vAlign w:val="center"/>
          </w:tcPr>
          <w:p w14:paraId="5C22B893">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天然暗环境区</w:t>
            </w:r>
          </w:p>
        </w:tc>
        <w:tc>
          <w:tcPr>
            <w:tcW w:w="1597" w:type="pct"/>
            <w:tcBorders>
              <w:top w:val="single" w:color="000000" w:sz="4" w:space="0"/>
              <w:left w:val="single" w:color="000000" w:sz="4" w:space="0"/>
              <w:bottom w:val="single" w:color="000000" w:sz="4" w:space="0"/>
              <w:right w:val="single" w:color="000000" w:sz="4" w:space="0"/>
            </w:tcBorders>
            <w:vAlign w:val="center"/>
          </w:tcPr>
          <w:p w14:paraId="261422C9">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国家公园、自然保护区和天文台所在地区等</w:t>
            </w:r>
          </w:p>
        </w:tc>
        <w:tc>
          <w:tcPr>
            <w:tcW w:w="1434" w:type="pct"/>
            <w:tcBorders>
              <w:top w:val="single" w:color="000000" w:sz="4" w:space="0"/>
              <w:left w:val="single" w:color="000000" w:sz="4" w:space="0"/>
              <w:bottom w:val="single" w:color="000000" w:sz="4" w:space="0"/>
              <w:right w:val="single" w:color="000000" w:sz="4" w:space="0"/>
            </w:tcBorders>
            <w:vAlign w:val="center"/>
          </w:tcPr>
          <w:p w14:paraId="15FB1981">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不应设置人工照明</w:t>
            </w:r>
          </w:p>
        </w:tc>
      </w:tr>
      <w:tr w14:paraId="2E4DE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0C02C19F">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E1</w:t>
            </w:r>
          </w:p>
        </w:tc>
        <w:tc>
          <w:tcPr>
            <w:tcW w:w="1280" w:type="pct"/>
            <w:tcBorders>
              <w:top w:val="single" w:color="000000" w:sz="4" w:space="0"/>
              <w:left w:val="single" w:color="000000" w:sz="4" w:space="0"/>
              <w:bottom w:val="single" w:color="000000" w:sz="4" w:space="0"/>
              <w:right w:val="single" w:color="000000" w:sz="4" w:space="0"/>
            </w:tcBorders>
            <w:vAlign w:val="center"/>
          </w:tcPr>
          <w:p w14:paraId="5E058909">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暗环境区</w:t>
            </w:r>
          </w:p>
        </w:tc>
        <w:tc>
          <w:tcPr>
            <w:tcW w:w="1597" w:type="pct"/>
            <w:tcBorders>
              <w:top w:val="single" w:color="000000" w:sz="4" w:space="0"/>
              <w:left w:val="single" w:color="000000" w:sz="4" w:space="0"/>
              <w:bottom w:val="single" w:color="000000" w:sz="4" w:space="0"/>
              <w:right w:val="single" w:color="000000" w:sz="4" w:space="0"/>
            </w:tcBorders>
            <w:vAlign w:val="center"/>
          </w:tcPr>
          <w:p w14:paraId="692D028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无人居住的乡村地区等</w:t>
            </w:r>
          </w:p>
        </w:tc>
        <w:tc>
          <w:tcPr>
            <w:tcW w:w="1434" w:type="pct"/>
            <w:tcBorders>
              <w:top w:val="single" w:color="000000" w:sz="4" w:space="0"/>
              <w:left w:val="single" w:color="000000" w:sz="4" w:space="0"/>
              <w:bottom w:val="single" w:color="000000" w:sz="4" w:space="0"/>
              <w:right w:val="single" w:color="000000" w:sz="4" w:space="0"/>
            </w:tcBorders>
            <w:vAlign w:val="center"/>
          </w:tcPr>
          <w:p w14:paraId="1A7A9CBC">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可设置必要的功能照明</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不应设置景观照明</w:t>
            </w:r>
          </w:p>
        </w:tc>
      </w:tr>
      <w:tr w14:paraId="013A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2042CE9B">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E2</w:t>
            </w:r>
          </w:p>
        </w:tc>
        <w:tc>
          <w:tcPr>
            <w:tcW w:w="1280" w:type="pct"/>
            <w:tcBorders>
              <w:top w:val="single" w:color="000000" w:sz="4" w:space="0"/>
              <w:left w:val="single" w:color="000000" w:sz="4" w:space="0"/>
              <w:bottom w:val="single" w:color="000000" w:sz="4" w:space="0"/>
              <w:right w:val="single" w:color="000000" w:sz="4" w:space="0"/>
            </w:tcBorders>
            <w:vAlign w:val="center"/>
          </w:tcPr>
          <w:p w14:paraId="0405D7C7">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低亮度环境区</w:t>
            </w:r>
          </w:p>
        </w:tc>
        <w:tc>
          <w:tcPr>
            <w:tcW w:w="1597" w:type="pct"/>
            <w:tcBorders>
              <w:top w:val="single" w:color="000000" w:sz="4" w:space="0"/>
              <w:left w:val="single" w:color="000000" w:sz="4" w:space="0"/>
              <w:bottom w:val="single" w:color="000000" w:sz="4" w:space="0"/>
              <w:right w:val="single" w:color="000000" w:sz="4" w:space="0"/>
            </w:tcBorders>
            <w:vAlign w:val="center"/>
          </w:tcPr>
          <w:p w14:paraId="6F5186A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低密度城乡居住区等</w:t>
            </w:r>
          </w:p>
        </w:tc>
        <w:tc>
          <w:tcPr>
            <w:tcW w:w="1434" w:type="pct"/>
            <w:tcBorders>
              <w:top w:val="single" w:color="000000" w:sz="4" w:space="0"/>
              <w:left w:val="single" w:color="000000" w:sz="4" w:space="0"/>
              <w:bottom w:val="single" w:color="000000" w:sz="4" w:space="0"/>
              <w:right w:val="single" w:color="000000" w:sz="4" w:space="0"/>
            </w:tcBorders>
            <w:vAlign w:val="top"/>
          </w:tcPr>
          <w:p w14:paraId="5AC51646">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设置功能照明</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可适当设置景观照明</w:t>
            </w:r>
          </w:p>
        </w:tc>
      </w:tr>
      <w:tr w14:paraId="1D6BE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7A7981E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E3</w:t>
            </w:r>
          </w:p>
        </w:tc>
        <w:tc>
          <w:tcPr>
            <w:tcW w:w="1280" w:type="pct"/>
            <w:tcBorders>
              <w:top w:val="single" w:color="000000" w:sz="4" w:space="0"/>
              <w:left w:val="single" w:color="000000" w:sz="4" w:space="0"/>
              <w:bottom w:val="single" w:color="000000" w:sz="4" w:space="0"/>
              <w:right w:val="single" w:color="000000" w:sz="4" w:space="0"/>
            </w:tcBorders>
            <w:vAlign w:val="center"/>
          </w:tcPr>
          <w:p w14:paraId="7A70DE5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中等亮度环境区</w:t>
            </w:r>
          </w:p>
        </w:tc>
        <w:tc>
          <w:tcPr>
            <w:tcW w:w="1597" w:type="pct"/>
            <w:tcBorders>
              <w:top w:val="single" w:color="000000" w:sz="4" w:space="0"/>
              <w:left w:val="single" w:color="000000" w:sz="4" w:space="0"/>
              <w:bottom w:val="single" w:color="000000" w:sz="4" w:space="0"/>
              <w:right w:val="single" w:color="000000" w:sz="4" w:space="0"/>
            </w:tcBorders>
            <w:vAlign w:val="center"/>
          </w:tcPr>
          <w:p w14:paraId="3975AF6F">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城市或城镇居住区及一般公共区等</w:t>
            </w:r>
          </w:p>
        </w:tc>
        <w:tc>
          <w:tcPr>
            <w:tcW w:w="1434" w:type="pct"/>
            <w:tcBorders>
              <w:top w:val="single" w:color="000000" w:sz="4" w:space="0"/>
              <w:left w:val="single" w:color="000000" w:sz="4" w:space="0"/>
              <w:bottom w:val="single" w:color="000000" w:sz="4" w:space="0"/>
              <w:right w:val="single" w:color="000000" w:sz="4" w:space="0"/>
            </w:tcBorders>
            <w:vAlign w:val="top"/>
          </w:tcPr>
          <w:p w14:paraId="15D58FAC">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应设置功能照明</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可适度设置景观照明</w:t>
            </w:r>
          </w:p>
        </w:tc>
      </w:tr>
      <w:tr w14:paraId="47F8F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pct"/>
            <w:tcBorders>
              <w:top w:val="single" w:color="000000" w:sz="4" w:space="0"/>
              <w:left w:val="single" w:color="000000" w:sz="4" w:space="0"/>
              <w:bottom w:val="single" w:color="000000" w:sz="4" w:space="0"/>
              <w:right w:val="single" w:color="000000" w:sz="4" w:space="0"/>
            </w:tcBorders>
            <w:vAlign w:val="center"/>
          </w:tcPr>
          <w:p w14:paraId="7066BA42">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E4</w:t>
            </w:r>
          </w:p>
        </w:tc>
        <w:tc>
          <w:tcPr>
            <w:tcW w:w="1280" w:type="pct"/>
            <w:tcBorders>
              <w:top w:val="single" w:color="000000" w:sz="4" w:space="0"/>
              <w:left w:val="single" w:color="000000" w:sz="4" w:space="0"/>
              <w:bottom w:val="single" w:color="000000" w:sz="4" w:space="0"/>
              <w:right w:val="single" w:color="000000" w:sz="4" w:space="0"/>
            </w:tcBorders>
            <w:vAlign w:val="center"/>
          </w:tcPr>
          <w:p w14:paraId="5B22FC17">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高亮度环境区</w:t>
            </w:r>
          </w:p>
        </w:tc>
        <w:tc>
          <w:tcPr>
            <w:tcW w:w="1597" w:type="pct"/>
            <w:tcBorders>
              <w:top w:val="single" w:color="000000" w:sz="4" w:space="0"/>
              <w:left w:val="single" w:color="000000" w:sz="4" w:space="0"/>
              <w:bottom w:val="single" w:color="000000" w:sz="4" w:space="0"/>
              <w:right w:val="single" w:color="000000" w:sz="4" w:space="0"/>
            </w:tcBorders>
            <w:vAlign w:val="center"/>
          </w:tcPr>
          <w:p w14:paraId="2D5C93C4">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城市或城镇中心区和商业区等</w:t>
            </w:r>
          </w:p>
        </w:tc>
        <w:tc>
          <w:tcPr>
            <w:tcW w:w="1434" w:type="pct"/>
            <w:tcBorders>
              <w:top w:val="single" w:color="000000" w:sz="4" w:space="0"/>
              <w:left w:val="single" w:color="000000" w:sz="4" w:space="0"/>
              <w:bottom w:val="single" w:color="000000" w:sz="4" w:space="0"/>
              <w:right w:val="single" w:color="000000" w:sz="4" w:space="0"/>
            </w:tcBorders>
            <w:vAlign w:val="top"/>
          </w:tcPr>
          <w:p w14:paraId="561BB99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应设置功能照明</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宜设置景观照明</w:t>
            </w:r>
          </w:p>
        </w:tc>
      </w:tr>
    </w:tbl>
    <w:p w14:paraId="43C3576C">
      <w:pPr>
        <w:tabs>
          <w:tab w:val="left" w:pos="420"/>
        </w:tabs>
        <w:ind w:firstLine="560" w:firstLineChars="200"/>
        <w:jc w:val="left"/>
        <w:rPr>
          <w:rFonts w:hint="eastAsia"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rPr>
        <w:t>3</w:t>
      </w:r>
      <w:r>
        <w:rPr>
          <w:rFonts w:hint="eastAsia"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室外公共活动区域的眩光值应符合表</w:t>
      </w:r>
      <w:r>
        <w:rPr>
          <w:rFonts w:hint="default" w:ascii="Times New Roman" w:hAnsi="Times New Roman" w:eastAsia="仿宋" w:cs="Times New Roman"/>
          <w:color w:val="auto"/>
          <w:sz w:val="28"/>
          <w:szCs w:val="28"/>
          <w:highlight w:val="none"/>
          <w:lang w:val="en-GB"/>
        </w:rPr>
        <w:t>2</w:t>
      </w:r>
      <w:r>
        <w:rPr>
          <w:rFonts w:hint="default" w:ascii="Times New Roman" w:hAnsi="Times New Roman" w:eastAsia="仿宋" w:cs="Times New Roman"/>
          <w:color w:val="auto"/>
          <w:sz w:val="28"/>
          <w:szCs w:val="28"/>
          <w:highlight w:val="none"/>
        </w:rPr>
        <w:t>.2.</w:t>
      </w:r>
      <w:r>
        <w:rPr>
          <w:rFonts w:hint="default" w:ascii="Times New Roman" w:hAnsi="Times New Roman" w:eastAsia="仿宋" w:cs="Times New Roman"/>
          <w:color w:val="auto"/>
          <w:sz w:val="28"/>
          <w:szCs w:val="28"/>
          <w:highlight w:val="none"/>
          <w:lang w:val="en-GB"/>
        </w:rPr>
        <w:t>6</w:t>
      </w:r>
      <w:r>
        <w:rPr>
          <w:rFonts w:hint="default" w:ascii="Times New Roman" w:hAnsi="Times New Roman" w:eastAsia="仿宋" w:cs="Times New Roman"/>
          <w:color w:val="auto"/>
          <w:sz w:val="28"/>
          <w:szCs w:val="28"/>
          <w:highlight w:val="none"/>
        </w:rPr>
        <w:t>的规定</w:t>
      </w:r>
      <w:r>
        <w:rPr>
          <w:rFonts w:hint="eastAsia" w:ascii="Times New Roman" w:hAnsi="Times New Roman" w:eastAsia="仿宋" w:cs="Times New Roman"/>
          <w:color w:val="auto"/>
          <w:sz w:val="28"/>
          <w:szCs w:val="28"/>
          <w:highlight w:val="none"/>
          <w:lang w:eastAsia="zh-CN"/>
        </w:rPr>
        <w:t>；</w:t>
      </w:r>
    </w:p>
    <w:p w14:paraId="10005B0D">
      <w:pPr>
        <w:spacing w:line="360" w:lineRule="auto"/>
        <w:jc w:val="center"/>
        <w:rPr>
          <w:rFonts w:hint="default" w:ascii="Times New Roman" w:hAnsi="Times New Roman" w:eastAsia="仿宋" w:cs="Times New Roman"/>
          <w:b/>
          <w:bCs/>
          <w:color w:val="auto"/>
          <w:sz w:val="28"/>
          <w:szCs w:val="28"/>
          <w:highlight w:val="none"/>
          <w:lang w:bidi="ar"/>
        </w:rPr>
      </w:pPr>
      <w:r>
        <w:rPr>
          <w:rFonts w:hint="default" w:ascii="Times New Roman" w:hAnsi="Times New Roman" w:eastAsia="仿宋" w:cs="Times New Roman"/>
          <w:b/>
          <w:bCs/>
          <w:color w:val="auto"/>
          <w:sz w:val="28"/>
          <w:szCs w:val="28"/>
          <w:highlight w:val="none"/>
          <w:lang w:bidi="ar"/>
        </w:rPr>
        <w:t>表</w:t>
      </w:r>
      <w:r>
        <w:rPr>
          <w:rFonts w:hint="default" w:ascii="Times New Roman" w:hAnsi="Times New Roman" w:eastAsia="仿宋" w:cs="Times New Roman"/>
          <w:b/>
          <w:bCs/>
          <w:color w:val="auto"/>
          <w:sz w:val="28"/>
          <w:szCs w:val="28"/>
          <w:highlight w:val="none"/>
          <w:lang w:val="en-GB" w:bidi="ar"/>
        </w:rPr>
        <w:t>2</w:t>
      </w:r>
      <w:r>
        <w:rPr>
          <w:rFonts w:hint="default" w:ascii="Times New Roman" w:hAnsi="Times New Roman" w:eastAsia="仿宋" w:cs="Times New Roman"/>
          <w:b/>
          <w:bCs/>
          <w:color w:val="auto"/>
          <w:sz w:val="28"/>
          <w:szCs w:val="28"/>
          <w:highlight w:val="none"/>
          <w:lang w:bidi="ar"/>
        </w:rPr>
        <w:t>.2.</w:t>
      </w:r>
      <w:r>
        <w:rPr>
          <w:rFonts w:hint="default" w:ascii="Times New Roman" w:hAnsi="Times New Roman" w:eastAsia="仿宋" w:cs="Times New Roman"/>
          <w:b/>
          <w:bCs/>
          <w:color w:val="auto"/>
          <w:sz w:val="28"/>
          <w:szCs w:val="28"/>
          <w:highlight w:val="none"/>
          <w:lang w:val="en-GB" w:bidi="ar"/>
        </w:rPr>
        <w:t>6</w:t>
      </w:r>
      <w:r>
        <w:rPr>
          <w:rFonts w:hint="default" w:ascii="Times New Roman" w:hAnsi="Times New Roman" w:eastAsia="仿宋" w:cs="Times New Roman"/>
          <w:b/>
          <w:bCs/>
          <w:color w:val="auto"/>
          <w:sz w:val="28"/>
          <w:szCs w:val="28"/>
          <w:highlight w:val="none"/>
          <w:lang w:bidi="ar"/>
        </w:rPr>
        <w:t>室外公共活动区域眩光值控制</w:t>
      </w:r>
    </w:p>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08"/>
        <w:gridCol w:w="1596"/>
        <w:gridCol w:w="1596"/>
        <w:gridCol w:w="1740"/>
        <w:gridCol w:w="1349"/>
      </w:tblGrid>
      <w:tr w14:paraId="483CF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918" w:type="pct"/>
            <w:tcBorders>
              <w:top w:val="single" w:color="000000" w:sz="6" w:space="0"/>
              <w:left w:val="single" w:color="000000" w:sz="6" w:space="0"/>
              <w:bottom w:val="single" w:color="000000" w:sz="6" w:space="0"/>
              <w:right w:val="single" w:color="000000" w:sz="6" w:space="0"/>
            </w:tcBorders>
          </w:tcPr>
          <w:p w14:paraId="29A8667E">
            <w:pPr>
              <w:spacing w:after="120"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角度范围</w:t>
            </w:r>
          </w:p>
        </w:tc>
        <w:tc>
          <w:tcPr>
            <w:tcW w:w="783" w:type="pct"/>
            <w:tcBorders>
              <w:top w:val="single" w:color="000000" w:sz="6" w:space="0"/>
              <w:left w:val="nil"/>
              <w:bottom w:val="single" w:color="000000" w:sz="6" w:space="0"/>
              <w:right w:val="single" w:color="000000" w:sz="6" w:space="0"/>
            </w:tcBorders>
          </w:tcPr>
          <w:p w14:paraId="09752817">
            <w:pPr>
              <w:spacing w:after="120"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≥70°</w:t>
            </w:r>
          </w:p>
        </w:tc>
        <w:tc>
          <w:tcPr>
            <w:tcW w:w="783" w:type="pct"/>
            <w:tcBorders>
              <w:top w:val="single" w:color="000000" w:sz="6" w:space="0"/>
              <w:left w:val="nil"/>
              <w:bottom w:val="single" w:color="000000" w:sz="6" w:space="0"/>
              <w:right w:val="single" w:color="000000" w:sz="6" w:space="0"/>
            </w:tcBorders>
          </w:tcPr>
          <w:p w14:paraId="0CD8F2B3">
            <w:pPr>
              <w:spacing w:after="120"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≥80°</w:t>
            </w:r>
          </w:p>
        </w:tc>
        <w:tc>
          <w:tcPr>
            <w:tcW w:w="854" w:type="pct"/>
            <w:tcBorders>
              <w:top w:val="single" w:color="000000" w:sz="6" w:space="0"/>
              <w:left w:val="nil"/>
              <w:bottom w:val="single" w:color="000000" w:sz="6" w:space="0"/>
              <w:right w:val="single" w:color="000000" w:sz="6" w:space="0"/>
            </w:tcBorders>
          </w:tcPr>
          <w:p w14:paraId="79FEDCE0">
            <w:pPr>
              <w:spacing w:after="120"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≥90°</w:t>
            </w:r>
          </w:p>
        </w:tc>
        <w:tc>
          <w:tcPr>
            <w:tcW w:w="662" w:type="pct"/>
            <w:tcBorders>
              <w:top w:val="single" w:color="000000" w:sz="6" w:space="0"/>
              <w:left w:val="nil"/>
              <w:bottom w:val="single" w:color="000000" w:sz="6" w:space="0"/>
              <w:right w:val="single" w:color="000000" w:sz="6" w:space="0"/>
            </w:tcBorders>
          </w:tcPr>
          <w:p w14:paraId="26D1AF0F">
            <w:pPr>
              <w:spacing w:after="120"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≥95°</w:t>
            </w:r>
          </w:p>
        </w:tc>
      </w:tr>
      <w:tr w14:paraId="66E50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1918" w:type="pct"/>
            <w:tcBorders>
              <w:top w:val="single" w:color="000000" w:sz="6" w:space="0"/>
              <w:left w:val="single" w:color="000000" w:sz="6" w:space="0"/>
              <w:bottom w:val="single" w:color="000000" w:sz="6" w:space="0"/>
              <w:right w:val="single" w:color="000000" w:sz="6" w:space="0"/>
            </w:tcBorders>
          </w:tcPr>
          <w:p w14:paraId="6553B6DA">
            <w:pPr>
              <w:spacing w:after="120" w:line="40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最大光强Imax（cd/1000</w:t>
            </w:r>
            <w:r>
              <w:rPr>
                <w:rFonts w:hint="default" w:ascii="Times New Roman" w:hAnsi="Times New Roman" w:eastAsia="仿宋" w:cs="Times New Roman"/>
                <w:color w:val="auto"/>
                <w:sz w:val="28"/>
                <w:szCs w:val="28"/>
                <w:highlight w:val="none"/>
                <w:lang w:val="en-US" w:eastAsia="zh-CN"/>
              </w:rPr>
              <w:t>l</w:t>
            </w:r>
            <w:r>
              <w:rPr>
                <w:rFonts w:hint="default" w:ascii="Times New Roman" w:hAnsi="Times New Roman" w:eastAsia="仿宋" w:cs="Times New Roman"/>
                <w:color w:val="auto"/>
                <w:sz w:val="28"/>
                <w:szCs w:val="28"/>
                <w:highlight w:val="none"/>
              </w:rPr>
              <w:t>m）</w:t>
            </w:r>
          </w:p>
        </w:tc>
        <w:tc>
          <w:tcPr>
            <w:tcW w:w="783" w:type="pct"/>
            <w:tcBorders>
              <w:top w:val="single" w:color="CBCDD1" w:sz="6" w:space="0"/>
              <w:left w:val="nil"/>
              <w:bottom w:val="single" w:color="000000" w:sz="6" w:space="0"/>
              <w:right w:val="single" w:color="000000" w:sz="6" w:space="0"/>
            </w:tcBorders>
          </w:tcPr>
          <w:p w14:paraId="7B9C32ED">
            <w:pPr>
              <w:spacing w:after="120" w:line="400" w:lineRule="exact"/>
              <w:jc w:val="center"/>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eastAsia="zh-CN"/>
              </w:rPr>
              <w:t>&lt;</w:t>
            </w:r>
            <w:r>
              <w:rPr>
                <w:rFonts w:hint="default" w:ascii="Times New Roman" w:hAnsi="Times New Roman" w:eastAsia="仿宋" w:cs="Times New Roman"/>
                <w:color w:val="auto"/>
                <w:sz w:val="28"/>
                <w:szCs w:val="28"/>
                <w:highlight w:val="none"/>
              </w:rPr>
              <w:t>500</w:t>
            </w:r>
          </w:p>
        </w:tc>
        <w:tc>
          <w:tcPr>
            <w:tcW w:w="783" w:type="pct"/>
            <w:tcBorders>
              <w:top w:val="single" w:color="CBCDD1" w:sz="6" w:space="0"/>
              <w:left w:val="nil"/>
              <w:bottom w:val="single" w:color="000000" w:sz="6" w:space="0"/>
              <w:right w:val="single" w:color="000000" w:sz="6" w:space="0"/>
            </w:tcBorders>
          </w:tcPr>
          <w:p w14:paraId="33819666">
            <w:pPr>
              <w:spacing w:after="120" w:line="400" w:lineRule="exact"/>
              <w:jc w:val="center"/>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eastAsia="zh-CN"/>
              </w:rPr>
              <w:t>&lt;</w:t>
            </w:r>
            <w:r>
              <w:rPr>
                <w:rFonts w:hint="default" w:ascii="Times New Roman" w:hAnsi="Times New Roman" w:eastAsia="仿宋" w:cs="Times New Roman"/>
                <w:color w:val="auto"/>
                <w:sz w:val="28"/>
                <w:szCs w:val="28"/>
                <w:highlight w:val="none"/>
              </w:rPr>
              <w:t>100</w:t>
            </w:r>
          </w:p>
        </w:tc>
        <w:tc>
          <w:tcPr>
            <w:tcW w:w="854" w:type="pct"/>
            <w:tcBorders>
              <w:top w:val="single" w:color="CBCDD1" w:sz="6" w:space="0"/>
              <w:left w:val="nil"/>
              <w:bottom w:val="single" w:color="000000" w:sz="6" w:space="0"/>
              <w:right w:val="single" w:color="000000" w:sz="6" w:space="0"/>
            </w:tcBorders>
          </w:tcPr>
          <w:p w14:paraId="06238086">
            <w:pPr>
              <w:spacing w:after="120" w:line="400" w:lineRule="exact"/>
              <w:jc w:val="center"/>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eastAsia="zh-CN"/>
              </w:rPr>
              <w:t>&lt;</w:t>
            </w:r>
            <w:r>
              <w:rPr>
                <w:rFonts w:hint="default" w:ascii="Times New Roman" w:hAnsi="Times New Roman" w:eastAsia="仿宋" w:cs="Times New Roman"/>
                <w:color w:val="auto"/>
                <w:sz w:val="28"/>
                <w:szCs w:val="28"/>
                <w:highlight w:val="none"/>
              </w:rPr>
              <w:t>10</w:t>
            </w:r>
          </w:p>
        </w:tc>
        <w:tc>
          <w:tcPr>
            <w:tcW w:w="662" w:type="pct"/>
            <w:tcBorders>
              <w:top w:val="single" w:color="CBCDD1" w:sz="6" w:space="0"/>
              <w:left w:val="nil"/>
              <w:bottom w:val="single" w:color="000000" w:sz="6" w:space="0"/>
              <w:right w:val="single" w:color="000000" w:sz="6" w:space="0"/>
            </w:tcBorders>
          </w:tcPr>
          <w:p w14:paraId="4FD6FA2A">
            <w:pPr>
              <w:spacing w:after="120" w:line="400" w:lineRule="exact"/>
              <w:jc w:val="center"/>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eastAsia="zh-CN"/>
              </w:rPr>
              <w:t>&lt;</w:t>
            </w:r>
            <w:r>
              <w:rPr>
                <w:rFonts w:hint="default" w:ascii="Times New Roman" w:hAnsi="Times New Roman" w:eastAsia="仿宋" w:cs="Times New Roman"/>
                <w:color w:val="auto"/>
                <w:sz w:val="28"/>
                <w:szCs w:val="28"/>
                <w:highlight w:val="none"/>
              </w:rPr>
              <w:t>1</w:t>
            </w:r>
          </w:p>
        </w:tc>
      </w:tr>
    </w:tbl>
    <w:p w14:paraId="36600590">
      <w:pPr>
        <w:spacing w:line="40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注：表中最大光强Imax是指灯具在安装就位后与其向下垂直轴形成的指定角度上任何方向上的最大发光强度。</w:t>
      </w:r>
    </w:p>
    <w:p w14:paraId="29DA6588">
      <w:pPr>
        <w:tabs>
          <w:tab w:val="left" w:pos="420"/>
        </w:tabs>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4</w:t>
      </w:r>
      <w:r>
        <w:rPr>
          <w:rFonts w:hint="eastAsia"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室外公共区域夜间照明照度值和一般显色指数不应低于表</w:t>
      </w:r>
      <w:r>
        <w:rPr>
          <w:rFonts w:hint="default" w:ascii="Times New Roman" w:hAnsi="Times New Roman" w:eastAsia="仿宋" w:cs="Times New Roman"/>
          <w:color w:val="auto"/>
          <w:sz w:val="28"/>
          <w:szCs w:val="28"/>
          <w:highlight w:val="none"/>
          <w:lang w:val="en-GB" w:eastAsia="zh-CN"/>
        </w:rPr>
        <w:t>2</w:t>
      </w:r>
      <w:r>
        <w:rPr>
          <w:rFonts w:hint="default"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lang w:val="en-GB" w:eastAsia="zh-CN"/>
        </w:rPr>
        <w:t>7</w:t>
      </w:r>
      <w:r>
        <w:rPr>
          <w:rFonts w:hint="default" w:ascii="Times New Roman" w:hAnsi="Times New Roman" w:eastAsia="仿宋" w:cs="Times New Roman"/>
          <w:color w:val="auto"/>
          <w:sz w:val="28"/>
          <w:szCs w:val="28"/>
          <w:highlight w:val="none"/>
        </w:rPr>
        <w:t>规定的限值。</w:t>
      </w:r>
    </w:p>
    <w:p w14:paraId="14E88F5A">
      <w:pPr>
        <w:spacing w:line="360" w:lineRule="auto"/>
        <w:jc w:val="center"/>
        <w:rPr>
          <w:rFonts w:hint="default" w:ascii="Times New Roman" w:hAnsi="Times New Roman" w:eastAsia="仿宋" w:cs="Times New Roman"/>
          <w:b/>
          <w:bCs/>
          <w:color w:val="auto"/>
          <w:sz w:val="28"/>
          <w:szCs w:val="28"/>
          <w:highlight w:val="none"/>
          <w:lang w:bidi="ar"/>
        </w:rPr>
      </w:pPr>
      <w:r>
        <w:rPr>
          <w:rFonts w:hint="default" w:ascii="Times New Roman" w:hAnsi="Times New Roman" w:eastAsia="仿宋" w:cs="Times New Roman"/>
          <w:b/>
          <w:bCs/>
          <w:color w:val="auto"/>
          <w:sz w:val="28"/>
          <w:szCs w:val="28"/>
          <w:highlight w:val="none"/>
          <w:lang w:bidi="ar"/>
        </w:rPr>
        <w:t>表</w:t>
      </w:r>
      <w:r>
        <w:rPr>
          <w:rFonts w:hint="default" w:ascii="Times New Roman" w:hAnsi="Times New Roman" w:eastAsia="仿宋" w:cs="Times New Roman"/>
          <w:b/>
          <w:bCs/>
          <w:color w:val="auto"/>
          <w:sz w:val="28"/>
          <w:szCs w:val="28"/>
          <w:highlight w:val="none"/>
          <w:lang w:val="en-GB" w:bidi="ar"/>
        </w:rPr>
        <w:t>2</w:t>
      </w:r>
      <w:r>
        <w:rPr>
          <w:rFonts w:hint="default" w:ascii="Times New Roman" w:hAnsi="Times New Roman" w:eastAsia="仿宋" w:cs="Times New Roman"/>
          <w:b/>
          <w:bCs/>
          <w:color w:val="auto"/>
          <w:sz w:val="28"/>
          <w:szCs w:val="28"/>
          <w:highlight w:val="none"/>
          <w:lang w:bidi="ar"/>
        </w:rPr>
        <w:t>.2.</w:t>
      </w:r>
      <w:r>
        <w:rPr>
          <w:rFonts w:hint="default" w:ascii="Times New Roman" w:hAnsi="Times New Roman" w:eastAsia="仿宋" w:cs="Times New Roman"/>
          <w:b/>
          <w:bCs/>
          <w:color w:val="auto"/>
          <w:sz w:val="28"/>
          <w:szCs w:val="28"/>
          <w:highlight w:val="none"/>
          <w:lang w:val="en-GB" w:bidi="ar"/>
        </w:rPr>
        <w:t>7</w:t>
      </w:r>
      <w:r>
        <w:rPr>
          <w:rFonts w:hint="default" w:ascii="Times New Roman" w:hAnsi="Times New Roman" w:eastAsia="仿宋" w:cs="Times New Roman"/>
          <w:b/>
          <w:bCs/>
          <w:color w:val="auto"/>
          <w:sz w:val="28"/>
          <w:szCs w:val="28"/>
          <w:highlight w:val="none"/>
          <w:lang w:bidi="ar"/>
        </w:rPr>
        <w:t>室外公共区域夜间照明参数</w:t>
      </w:r>
    </w:p>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47"/>
        <w:gridCol w:w="1531"/>
        <w:gridCol w:w="1843"/>
        <w:gridCol w:w="1533"/>
        <w:gridCol w:w="1531"/>
        <w:gridCol w:w="1604"/>
      </w:tblGrid>
      <w:tr w14:paraId="2CB70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6" w:type="pct"/>
            <w:tcBorders>
              <w:top w:val="single" w:color="000000" w:sz="6" w:space="0"/>
              <w:left w:val="single" w:color="000000" w:sz="6" w:space="0"/>
              <w:bottom w:val="single" w:color="000000" w:sz="6" w:space="0"/>
              <w:right w:val="single" w:color="000000" w:sz="6" w:space="0"/>
            </w:tcBorders>
            <w:vAlign w:val="center"/>
          </w:tcPr>
          <w:p w14:paraId="6143116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场所</w:t>
            </w:r>
          </w:p>
        </w:tc>
        <w:tc>
          <w:tcPr>
            <w:tcW w:w="764" w:type="pct"/>
            <w:tcBorders>
              <w:top w:val="single" w:color="000000" w:sz="6" w:space="0"/>
              <w:left w:val="nil"/>
              <w:bottom w:val="single" w:color="000000" w:sz="6" w:space="0"/>
              <w:right w:val="single" w:color="000000" w:sz="6" w:space="0"/>
            </w:tcBorders>
            <w:vAlign w:val="center"/>
          </w:tcPr>
          <w:p w14:paraId="692CFD4E">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平均水平照度</w:t>
            </w:r>
          </w:p>
          <w:p w14:paraId="63C72C7E">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Eh,av(lx)</w:t>
            </w:r>
          </w:p>
        </w:tc>
        <w:tc>
          <w:tcPr>
            <w:tcW w:w="917" w:type="pct"/>
            <w:tcBorders>
              <w:top w:val="single" w:color="000000" w:sz="6" w:space="0"/>
              <w:left w:val="nil"/>
              <w:bottom w:val="single" w:color="000000" w:sz="6" w:space="0"/>
              <w:right w:val="single" w:color="000000" w:sz="6" w:space="0"/>
            </w:tcBorders>
            <w:vAlign w:val="center"/>
          </w:tcPr>
          <w:p w14:paraId="76D0056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水平照度</w:t>
            </w:r>
          </w:p>
          <w:p w14:paraId="4E554A34">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Eh,min(lx)</w:t>
            </w:r>
          </w:p>
        </w:tc>
        <w:tc>
          <w:tcPr>
            <w:tcW w:w="765" w:type="pct"/>
            <w:tcBorders>
              <w:top w:val="single" w:color="000000" w:sz="6" w:space="0"/>
              <w:left w:val="nil"/>
              <w:bottom w:val="single" w:color="000000" w:sz="6" w:space="0"/>
              <w:right w:val="single" w:color="000000" w:sz="6" w:space="0"/>
            </w:tcBorders>
            <w:vAlign w:val="center"/>
          </w:tcPr>
          <w:p w14:paraId="0546F27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垂直照度</w:t>
            </w:r>
          </w:p>
          <w:p w14:paraId="1441819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Ev,min(lx)</w:t>
            </w:r>
          </w:p>
        </w:tc>
        <w:tc>
          <w:tcPr>
            <w:tcW w:w="688" w:type="pct"/>
            <w:tcBorders>
              <w:top w:val="single" w:color="000000" w:sz="6" w:space="0"/>
              <w:left w:val="nil"/>
              <w:bottom w:val="single" w:color="000000" w:sz="6" w:space="0"/>
              <w:right w:val="single" w:color="000000" w:sz="6" w:space="0"/>
            </w:tcBorders>
            <w:vAlign w:val="center"/>
          </w:tcPr>
          <w:p w14:paraId="1840DA25">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半柱面照度</w:t>
            </w:r>
          </w:p>
          <w:p w14:paraId="59E8B865">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Esc,min(lx)</w:t>
            </w:r>
          </w:p>
        </w:tc>
        <w:tc>
          <w:tcPr>
            <w:tcW w:w="799" w:type="pct"/>
            <w:tcBorders>
              <w:top w:val="single" w:color="000000" w:sz="6" w:space="0"/>
              <w:left w:val="nil"/>
              <w:bottom w:val="single" w:color="000000" w:sz="6" w:space="0"/>
              <w:right w:val="single" w:color="000000" w:sz="6" w:space="0"/>
            </w:tcBorders>
            <w:vAlign w:val="center"/>
          </w:tcPr>
          <w:p w14:paraId="54D2683A">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一般显色</w:t>
            </w:r>
          </w:p>
          <w:p w14:paraId="1D15E7AF">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指数</w:t>
            </w:r>
          </w:p>
        </w:tc>
      </w:tr>
      <w:tr w14:paraId="619A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6" w:type="pct"/>
            <w:tcBorders>
              <w:top w:val="single" w:color="000000" w:sz="6" w:space="0"/>
              <w:left w:val="single" w:color="000000" w:sz="6" w:space="0"/>
              <w:bottom w:val="single" w:color="000000" w:sz="6" w:space="0"/>
              <w:right w:val="single" w:color="000000" w:sz="6" w:space="0"/>
            </w:tcBorders>
            <w:vAlign w:val="center"/>
          </w:tcPr>
          <w:p w14:paraId="0BDF4045">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主要附属道路</w:t>
            </w:r>
          </w:p>
        </w:tc>
        <w:tc>
          <w:tcPr>
            <w:tcW w:w="764" w:type="pct"/>
            <w:tcBorders>
              <w:top w:val="single" w:color="CBCDD1" w:sz="6" w:space="0"/>
              <w:left w:val="nil"/>
              <w:bottom w:val="single" w:color="000000" w:sz="6" w:space="0"/>
              <w:right w:val="single" w:color="000000" w:sz="6" w:space="0"/>
            </w:tcBorders>
            <w:vAlign w:val="center"/>
          </w:tcPr>
          <w:p w14:paraId="67BF3C45">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15</w:t>
            </w:r>
          </w:p>
        </w:tc>
        <w:tc>
          <w:tcPr>
            <w:tcW w:w="917" w:type="pct"/>
            <w:tcBorders>
              <w:top w:val="single" w:color="CBCDD1" w:sz="6" w:space="0"/>
              <w:left w:val="nil"/>
              <w:bottom w:val="single" w:color="000000" w:sz="6" w:space="0"/>
              <w:right w:val="single" w:color="000000" w:sz="6" w:space="0"/>
            </w:tcBorders>
            <w:vAlign w:val="center"/>
          </w:tcPr>
          <w:p w14:paraId="197A9262">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w:t>
            </w:r>
          </w:p>
        </w:tc>
        <w:tc>
          <w:tcPr>
            <w:tcW w:w="765" w:type="pct"/>
            <w:tcBorders>
              <w:top w:val="single" w:color="CBCDD1" w:sz="6" w:space="0"/>
              <w:left w:val="nil"/>
              <w:bottom w:val="single" w:color="000000" w:sz="6" w:space="0"/>
              <w:right w:val="single" w:color="000000" w:sz="6" w:space="0"/>
            </w:tcBorders>
            <w:vAlign w:val="center"/>
          </w:tcPr>
          <w:p w14:paraId="114523AF">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c>
          <w:tcPr>
            <w:tcW w:w="688" w:type="pct"/>
            <w:tcBorders>
              <w:top w:val="single" w:color="CBCDD1" w:sz="6" w:space="0"/>
              <w:left w:val="nil"/>
              <w:bottom w:val="single" w:color="000000" w:sz="6" w:space="0"/>
              <w:right w:val="single" w:color="000000" w:sz="6" w:space="0"/>
            </w:tcBorders>
            <w:vAlign w:val="center"/>
          </w:tcPr>
          <w:p w14:paraId="15EF1E0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w:t>
            </w:r>
          </w:p>
        </w:tc>
        <w:tc>
          <w:tcPr>
            <w:tcW w:w="799" w:type="pct"/>
            <w:tcBorders>
              <w:top w:val="single" w:color="CBCDD1" w:sz="6" w:space="0"/>
              <w:left w:val="nil"/>
              <w:bottom w:val="single" w:color="000000" w:sz="6" w:space="0"/>
              <w:right w:val="single" w:color="000000" w:sz="6" w:space="0"/>
            </w:tcBorders>
            <w:vAlign w:val="center"/>
          </w:tcPr>
          <w:p w14:paraId="76666D4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60</w:t>
            </w:r>
          </w:p>
        </w:tc>
      </w:tr>
      <w:tr w14:paraId="42FE2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6" w:type="pct"/>
            <w:tcBorders>
              <w:top w:val="single" w:color="000000" w:sz="6" w:space="0"/>
              <w:left w:val="single" w:color="000000" w:sz="6" w:space="0"/>
              <w:bottom w:val="single" w:color="000000" w:sz="6" w:space="0"/>
              <w:right w:val="single" w:color="000000" w:sz="6" w:space="0"/>
            </w:tcBorders>
            <w:vAlign w:val="center"/>
          </w:tcPr>
          <w:p w14:paraId="0016E4D7">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其他附属道路</w:t>
            </w:r>
          </w:p>
        </w:tc>
        <w:tc>
          <w:tcPr>
            <w:tcW w:w="764" w:type="pct"/>
            <w:tcBorders>
              <w:top w:val="single" w:color="CBCDD1" w:sz="6" w:space="0"/>
              <w:left w:val="nil"/>
              <w:bottom w:val="single" w:color="000000" w:sz="6" w:space="0"/>
              <w:right w:val="single" w:color="000000" w:sz="6" w:space="0"/>
            </w:tcBorders>
            <w:vAlign w:val="center"/>
          </w:tcPr>
          <w:p w14:paraId="77FD4B0F">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w:t>
            </w:r>
          </w:p>
        </w:tc>
        <w:tc>
          <w:tcPr>
            <w:tcW w:w="917" w:type="pct"/>
            <w:tcBorders>
              <w:top w:val="single" w:color="CBCDD1" w:sz="6" w:space="0"/>
              <w:left w:val="nil"/>
              <w:bottom w:val="single" w:color="000000" w:sz="6" w:space="0"/>
              <w:right w:val="single" w:color="000000" w:sz="6" w:space="0"/>
            </w:tcBorders>
            <w:vAlign w:val="center"/>
          </w:tcPr>
          <w:p w14:paraId="5AD4ED93">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tc>
        <w:tc>
          <w:tcPr>
            <w:tcW w:w="765" w:type="pct"/>
            <w:tcBorders>
              <w:top w:val="single" w:color="CBCDD1" w:sz="6" w:space="0"/>
              <w:left w:val="nil"/>
              <w:bottom w:val="single" w:color="000000" w:sz="6" w:space="0"/>
              <w:right w:val="single" w:color="000000" w:sz="6" w:space="0"/>
            </w:tcBorders>
            <w:vAlign w:val="center"/>
          </w:tcPr>
          <w:p w14:paraId="00447DD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w:t>
            </w:r>
          </w:p>
        </w:tc>
        <w:tc>
          <w:tcPr>
            <w:tcW w:w="688" w:type="pct"/>
            <w:tcBorders>
              <w:top w:val="single" w:color="CBCDD1" w:sz="6" w:space="0"/>
              <w:left w:val="nil"/>
              <w:bottom w:val="single" w:color="000000" w:sz="6" w:space="0"/>
              <w:right w:val="single" w:color="000000" w:sz="6" w:space="0"/>
            </w:tcBorders>
            <w:vAlign w:val="center"/>
          </w:tcPr>
          <w:p w14:paraId="56B2B486">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tc>
        <w:tc>
          <w:tcPr>
            <w:tcW w:w="799" w:type="pct"/>
            <w:tcBorders>
              <w:top w:val="single" w:color="CBCDD1" w:sz="6" w:space="0"/>
              <w:left w:val="nil"/>
              <w:bottom w:val="single" w:color="000000" w:sz="6" w:space="0"/>
              <w:right w:val="single" w:color="000000" w:sz="6" w:space="0"/>
            </w:tcBorders>
            <w:vAlign w:val="center"/>
          </w:tcPr>
          <w:p w14:paraId="17FF2AD4">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60</w:t>
            </w:r>
          </w:p>
        </w:tc>
      </w:tr>
      <w:tr w14:paraId="09FE4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6" w:type="pct"/>
            <w:tcBorders>
              <w:top w:val="single" w:color="000000" w:sz="6" w:space="0"/>
              <w:left w:val="single" w:color="000000" w:sz="6" w:space="0"/>
              <w:bottom w:val="single" w:color="000000" w:sz="6" w:space="0"/>
              <w:right w:val="single" w:color="000000" w:sz="6" w:space="0"/>
            </w:tcBorders>
            <w:vAlign w:val="center"/>
          </w:tcPr>
          <w:p w14:paraId="17E172F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健身步道</w:t>
            </w:r>
          </w:p>
        </w:tc>
        <w:tc>
          <w:tcPr>
            <w:tcW w:w="764" w:type="pct"/>
            <w:tcBorders>
              <w:top w:val="single" w:color="CBCDD1" w:sz="6" w:space="0"/>
              <w:left w:val="nil"/>
              <w:bottom w:val="single" w:color="000000" w:sz="6" w:space="0"/>
              <w:right w:val="single" w:color="000000" w:sz="6" w:space="0"/>
            </w:tcBorders>
            <w:vAlign w:val="center"/>
          </w:tcPr>
          <w:p w14:paraId="29EA6DD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20</w:t>
            </w:r>
          </w:p>
        </w:tc>
        <w:tc>
          <w:tcPr>
            <w:tcW w:w="917" w:type="pct"/>
            <w:tcBorders>
              <w:top w:val="single" w:color="CBCDD1" w:sz="6" w:space="0"/>
              <w:left w:val="nil"/>
              <w:bottom w:val="single" w:color="000000" w:sz="6" w:space="0"/>
              <w:right w:val="single" w:color="000000" w:sz="6" w:space="0"/>
            </w:tcBorders>
            <w:vAlign w:val="center"/>
          </w:tcPr>
          <w:p w14:paraId="36B85069">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c>
          <w:tcPr>
            <w:tcW w:w="765" w:type="pct"/>
            <w:tcBorders>
              <w:top w:val="single" w:color="CBCDD1" w:sz="6" w:space="0"/>
              <w:left w:val="nil"/>
              <w:bottom w:val="single" w:color="000000" w:sz="6" w:space="0"/>
              <w:right w:val="single" w:color="000000" w:sz="6" w:space="0"/>
            </w:tcBorders>
            <w:vAlign w:val="center"/>
          </w:tcPr>
          <w:p w14:paraId="470AA21A">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w:t>
            </w:r>
          </w:p>
        </w:tc>
        <w:tc>
          <w:tcPr>
            <w:tcW w:w="688" w:type="pct"/>
            <w:tcBorders>
              <w:top w:val="single" w:color="CBCDD1" w:sz="6" w:space="0"/>
              <w:left w:val="nil"/>
              <w:bottom w:val="single" w:color="000000" w:sz="6" w:space="0"/>
              <w:right w:val="single" w:color="000000" w:sz="6" w:space="0"/>
            </w:tcBorders>
            <w:vAlign w:val="center"/>
          </w:tcPr>
          <w:p w14:paraId="38E51490">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c>
          <w:tcPr>
            <w:tcW w:w="799" w:type="pct"/>
            <w:tcBorders>
              <w:top w:val="single" w:color="CBCDD1" w:sz="6" w:space="0"/>
              <w:left w:val="nil"/>
              <w:bottom w:val="single" w:color="000000" w:sz="6" w:space="0"/>
              <w:right w:val="single" w:color="000000" w:sz="6" w:space="0"/>
            </w:tcBorders>
            <w:vAlign w:val="center"/>
          </w:tcPr>
          <w:p w14:paraId="686E114A">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60</w:t>
            </w:r>
          </w:p>
        </w:tc>
      </w:tr>
      <w:tr w14:paraId="65192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6" w:type="pct"/>
            <w:tcBorders>
              <w:top w:val="single" w:color="000000" w:sz="6" w:space="0"/>
              <w:left w:val="single" w:color="000000" w:sz="6" w:space="0"/>
              <w:bottom w:val="single" w:color="000000" w:sz="6" w:space="0"/>
              <w:right w:val="single" w:color="000000" w:sz="6" w:space="0"/>
            </w:tcBorders>
            <w:vAlign w:val="center"/>
          </w:tcPr>
          <w:p w14:paraId="21D890D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活动场地</w:t>
            </w:r>
          </w:p>
        </w:tc>
        <w:tc>
          <w:tcPr>
            <w:tcW w:w="764" w:type="pct"/>
            <w:tcBorders>
              <w:top w:val="single" w:color="CBCDD1" w:sz="6" w:space="0"/>
              <w:left w:val="nil"/>
              <w:bottom w:val="single" w:color="000000" w:sz="6" w:space="0"/>
              <w:right w:val="single" w:color="000000" w:sz="6" w:space="0"/>
            </w:tcBorders>
            <w:vAlign w:val="center"/>
          </w:tcPr>
          <w:p w14:paraId="4EAA628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30</w:t>
            </w:r>
          </w:p>
        </w:tc>
        <w:tc>
          <w:tcPr>
            <w:tcW w:w="917" w:type="pct"/>
            <w:tcBorders>
              <w:top w:val="single" w:color="CBCDD1" w:sz="6" w:space="0"/>
              <w:left w:val="nil"/>
              <w:bottom w:val="single" w:color="000000" w:sz="6" w:space="0"/>
              <w:right w:val="single" w:color="000000" w:sz="6" w:space="0"/>
            </w:tcBorders>
            <w:vAlign w:val="center"/>
          </w:tcPr>
          <w:p w14:paraId="0F5D67E6">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w:t>
            </w:r>
          </w:p>
        </w:tc>
        <w:tc>
          <w:tcPr>
            <w:tcW w:w="765" w:type="pct"/>
            <w:tcBorders>
              <w:top w:val="single" w:color="CBCDD1" w:sz="6" w:space="0"/>
              <w:left w:val="nil"/>
              <w:bottom w:val="single" w:color="000000" w:sz="6" w:space="0"/>
              <w:right w:val="single" w:color="000000" w:sz="6" w:space="0"/>
            </w:tcBorders>
            <w:vAlign w:val="center"/>
          </w:tcPr>
          <w:p w14:paraId="203097A8">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w:t>
            </w:r>
          </w:p>
        </w:tc>
        <w:tc>
          <w:tcPr>
            <w:tcW w:w="688" w:type="pct"/>
            <w:tcBorders>
              <w:top w:val="single" w:color="CBCDD1" w:sz="6" w:space="0"/>
              <w:left w:val="nil"/>
              <w:bottom w:val="single" w:color="000000" w:sz="6" w:space="0"/>
              <w:right w:val="single" w:color="000000" w:sz="6" w:space="0"/>
            </w:tcBorders>
            <w:vAlign w:val="center"/>
          </w:tcPr>
          <w:p w14:paraId="000DC803">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w:t>
            </w:r>
          </w:p>
        </w:tc>
        <w:tc>
          <w:tcPr>
            <w:tcW w:w="799" w:type="pct"/>
            <w:tcBorders>
              <w:top w:val="single" w:color="CBCDD1" w:sz="6" w:space="0"/>
              <w:left w:val="nil"/>
              <w:bottom w:val="single" w:color="000000" w:sz="6" w:space="0"/>
              <w:right w:val="single" w:color="000000" w:sz="6" w:space="0"/>
            </w:tcBorders>
            <w:vAlign w:val="center"/>
          </w:tcPr>
          <w:p w14:paraId="12074C1D">
            <w:pPr>
              <w:spacing w:line="40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60</w:t>
            </w:r>
          </w:p>
        </w:tc>
      </w:tr>
    </w:tbl>
    <w:p w14:paraId="69B851DF">
      <w:pPr>
        <w:spacing w:line="40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注：水平照度的参考平面为地面</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垂直照度和半柱面照度的计算点或测量点高度为1.5m。</w:t>
      </w:r>
    </w:p>
    <w:p w14:paraId="258C1584">
      <w:pPr>
        <w:spacing w:line="360" w:lineRule="auto"/>
        <w:jc w:val="center"/>
        <w:outlineLvl w:val="9"/>
        <w:rPr>
          <w:rFonts w:hint="default" w:ascii="Times New Roman" w:hAnsi="Times New Roman" w:cs="Times New Roman"/>
          <w:color w:val="auto"/>
          <w:szCs w:val="21"/>
          <w:lang w:bidi="ar"/>
        </w:rPr>
      </w:pPr>
      <w:r>
        <w:rPr>
          <w:rFonts w:hint="default" w:ascii="Times New Roman" w:hAnsi="Times New Roman" w:cs="Times New Roman"/>
          <w:color w:val="auto"/>
        </w:rPr>
        <w:drawing>
          <wp:inline distT="0" distB="0" distL="0" distR="0">
            <wp:extent cx="1893570" cy="1131570"/>
            <wp:effectExtent l="0" t="0" r="11430" b="11430"/>
            <wp:docPr id="7179" name="图片 16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图片 160" descr="未标题-2"/>
                    <pic:cNvPicPr>
                      <a:picLocks noChangeAspect="1" noChangeArrowheads="1"/>
                    </pic:cNvPicPr>
                  </pic:nvPicPr>
                  <pic:blipFill>
                    <a:blip r:embed="rId16">
                      <a:extLst>
                        <a:ext uri="{28A0092B-C50C-407E-A947-70E740481C1C}">
                          <a14:useLocalDpi xmlns:a14="http://schemas.microsoft.com/office/drawing/2010/main" val="0"/>
                        </a:ext>
                      </a:extLst>
                    </a:blip>
                    <a:srcRect l="181" t="3032" r="43501" b="1018"/>
                    <a:stretch>
                      <a:fillRect/>
                    </a:stretch>
                  </pic:blipFill>
                  <pic:spPr>
                    <a:xfrm>
                      <a:off x="0" y="0"/>
                      <a:ext cx="1906503" cy="1138945"/>
                    </a:xfrm>
                    <a:prstGeom prst="rect">
                      <a:avLst/>
                    </a:prstGeom>
                    <a:noFill/>
                    <a:ln>
                      <a:noFill/>
                    </a:ln>
                    <a:effectLst/>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0" distR="0">
            <wp:extent cx="1604645" cy="1129030"/>
            <wp:effectExtent l="0" t="0"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cstate="print">
                      <a:extLst>
                        <a:ext uri="{28A0092B-C50C-407E-A947-70E740481C1C}">
                          <a14:useLocalDpi xmlns:a14="http://schemas.microsoft.com/office/drawing/2010/main" val="0"/>
                        </a:ext>
                      </a:extLst>
                    </a:blip>
                    <a:srcRect r="53914" b="526"/>
                    <a:stretch>
                      <a:fillRect/>
                    </a:stretch>
                  </pic:blipFill>
                  <pic:spPr>
                    <a:xfrm>
                      <a:off x="0" y="0"/>
                      <a:ext cx="1630538" cy="1147029"/>
                    </a:xfrm>
                    <a:prstGeom prst="rect">
                      <a:avLst/>
                    </a:prstGeom>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0" distR="0">
            <wp:extent cx="1539875" cy="1129030"/>
            <wp:effectExtent l="0" t="0" r="3175" b="139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8" cstate="print">
                      <a:extLst>
                        <a:ext uri="{28A0092B-C50C-407E-A947-70E740481C1C}">
                          <a14:useLocalDpi xmlns:a14="http://schemas.microsoft.com/office/drawing/2010/main" val="0"/>
                        </a:ext>
                      </a:extLst>
                    </a:blip>
                    <a:srcRect l="61090" r="1" b="1882"/>
                    <a:stretch>
                      <a:fillRect/>
                    </a:stretch>
                  </pic:blipFill>
                  <pic:spPr>
                    <a:xfrm>
                      <a:off x="0" y="0"/>
                      <a:ext cx="1552627" cy="1138581"/>
                    </a:xfrm>
                    <a:prstGeom prst="rect">
                      <a:avLst/>
                    </a:prstGeom>
                  </pic:spPr>
                </pic:pic>
              </a:graphicData>
            </a:graphic>
          </wp:inline>
        </w:drawing>
      </w:r>
    </w:p>
    <w:p w14:paraId="016D1C1E">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图</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GB" w:eastAsia="zh-CN"/>
        </w:rPr>
        <w:t>4</w:t>
      </w:r>
      <w:r>
        <w:rPr>
          <w:rFonts w:hint="default" w:ascii="Times New Roman" w:hAnsi="Times New Roman" w:eastAsia="仿宋" w:cs="Times New Roman"/>
          <w:b w:val="0"/>
          <w:bCs w:val="0"/>
          <w:color w:val="auto"/>
          <w:sz w:val="28"/>
          <w:szCs w:val="28"/>
        </w:rPr>
        <w:t xml:space="preserve"> 住区照明示意图</w:t>
      </w:r>
    </w:p>
    <w:p w14:paraId="4C1BB75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cs="Times New Roman"/>
          <w:color w:val="auto"/>
        </w:rPr>
        <w:drawing>
          <wp:inline distT="0" distB="0" distL="0" distR="0">
            <wp:extent cx="5274310" cy="1773555"/>
            <wp:effectExtent l="0" t="0" r="2540"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cstate="print">
                      <a:extLst>
                        <a:ext uri="{28A0092B-C50C-407E-A947-70E740481C1C}">
                          <a14:useLocalDpi xmlns:a14="http://schemas.microsoft.com/office/drawing/2010/main" val="0"/>
                        </a:ext>
                      </a:extLst>
                    </a:blip>
                    <a:srcRect t="40262" b="2156"/>
                    <a:stretch>
                      <a:fillRect/>
                    </a:stretch>
                  </pic:blipFill>
                  <pic:spPr>
                    <a:xfrm>
                      <a:off x="0" y="0"/>
                      <a:ext cx="5274310" cy="1773942"/>
                    </a:xfrm>
                    <a:prstGeom prst="rect">
                      <a:avLst/>
                    </a:prstGeom>
                    <a:ln>
                      <a:noFill/>
                    </a:ln>
                  </pic:spPr>
                </pic:pic>
              </a:graphicData>
            </a:graphic>
          </wp:inline>
        </w:drawing>
      </w:r>
    </w:p>
    <w:p w14:paraId="35F5759A">
      <w:pPr>
        <w:numPr>
          <w:ilvl w:val="0"/>
          <w:numId w:val="0"/>
        </w:numPr>
        <w:tabs>
          <w:tab w:val="left" w:pos="420"/>
        </w:tabs>
        <w:ind w:leftChars="200"/>
        <w:jc w:val="center"/>
        <w:outlineLvl w:val="9"/>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图</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GB" w:eastAsia="zh-CN"/>
        </w:rPr>
        <w:t>5</w:t>
      </w:r>
      <w:r>
        <w:rPr>
          <w:rFonts w:hint="default" w:ascii="Times New Roman" w:hAnsi="Times New Roman" w:eastAsia="仿宋" w:cs="Times New Roman"/>
          <w:b w:val="0"/>
          <w:bCs w:val="0"/>
          <w:color w:val="auto"/>
          <w:sz w:val="28"/>
          <w:szCs w:val="28"/>
        </w:rPr>
        <w:t xml:space="preserve"> 涪江（观音湖）照明示意图</w:t>
      </w:r>
    </w:p>
    <w:p w14:paraId="57482B8A">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drawing>
          <wp:inline distT="0" distB="0" distL="0" distR="0">
            <wp:extent cx="5337175" cy="1027430"/>
            <wp:effectExtent l="0" t="0" r="1587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t="50865"/>
                    <a:stretch>
                      <a:fillRect/>
                    </a:stretch>
                  </pic:blipFill>
                  <pic:spPr>
                    <a:xfrm>
                      <a:off x="0" y="0"/>
                      <a:ext cx="5387336" cy="1027430"/>
                    </a:xfrm>
                    <a:prstGeom prst="rect">
                      <a:avLst/>
                    </a:prstGeom>
                    <a:noFill/>
                  </pic:spPr>
                </pic:pic>
              </a:graphicData>
            </a:graphic>
          </wp:inline>
        </w:drawing>
      </w:r>
    </w:p>
    <w:p w14:paraId="7033E23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图</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GB" w:eastAsia="zh-CN"/>
        </w:rPr>
        <w:t>6</w:t>
      </w:r>
      <w:r>
        <w:rPr>
          <w:rFonts w:hint="default" w:ascii="Times New Roman" w:hAnsi="Times New Roman" w:eastAsia="仿宋" w:cs="Times New Roman"/>
          <w:b w:val="0"/>
          <w:bCs w:val="0"/>
          <w:color w:val="auto"/>
          <w:sz w:val="28"/>
          <w:szCs w:val="28"/>
        </w:rPr>
        <w:t xml:space="preserve"> 河西滨水岸线（温暖老城形象）照明示意图</w:t>
      </w:r>
    </w:p>
    <w:p w14:paraId="2726C8E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drawing>
          <wp:inline distT="0" distB="0" distL="0" distR="0">
            <wp:extent cx="5209540" cy="1543685"/>
            <wp:effectExtent l="0" t="0" r="1016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t="41309"/>
                    <a:stretch>
                      <a:fillRect/>
                    </a:stretch>
                  </pic:blipFill>
                  <pic:spPr>
                    <a:xfrm>
                      <a:off x="0" y="0"/>
                      <a:ext cx="5224621" cy="1543685"/>
                    </a:xfrm>
                    <a:prstGeom prst="rect">
                      <a:avLst/>
                    </a:prstGeom>
                    <a:noFill/>
                  </pic:spPr>
                </pic:pic>
              </a:graphicData>
            </a:graphic>
          </wp:inline>
        </w:drawing>
      </w:r>
    </w:p>
    <w:p w14:paraId="766A936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图</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US" w:eastAsia="zh-CN"/>
        </w:rPr>
        <w:t>2</w:t>
      </w:r>
      <w:r>
        <w:rPr>
          <w:rFonts w:hint="default" w:ascii="Times New Roman" w:hAnsi="Times New Roman" w:eastAsia="仿宋" w:cs="Times New Roman"/>
          <w:b w:val="0"/>
          <w:bCs w:val="0"/>
          <w:color w:val="auto"/>
          <w:sz w:val="28"/>
          <w:szCs w:val="28"/>
        </w:rPr>
        <w:t>-</w:t>
      </w:r>
      <w:r>
        <w:rPr>
          <w:rFonts w:hint="default" w:ascii="Times New Roman" w:hAnsi="Times New Roman" w:eastAsia="仿宋" w:cs="Times New Roman"/>
          <w:b w:val="0"/>
          <w:bCs w:val="0"/>
          <w:color w:val="auto"/>
          <w:sz w:val="28"/>
          <w:szCs w:val="28"/>
          <w:lang w:val="en-GB" w:eastAsia="zh-CN"/>
        </w:rPr>
        <w:t>7</w:t>
      </w:r>
      <w:r>
        <w:rPr>
          <w:rFonts w:hint="default" w:ascii="Times New Roman" w:hAnsi="Times New Roman" w:eastAsia="仿宋" w:cs="Times New Roman"/>
          <w:b w:val="0"/>
          <w:bCs w:val="0"/>
          <w:color w:val="auto"/>
          <w:sz w:val="28"/>
          <w:szCs w:val="28"/>
        </w:rPr>
        <w:t xml:space="preserve"> 河东滨水岸线（从古韵到现代的氛围过渡）照明示意图</w:t>
      </w:r>
    </w:p>
    <w:p w14:paraId="317DC065">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eastAsia="zh-CN"/>
        </w:rPr>
        <w:t>住区海绵建设应符合以下要求：</w:t>
      </w:r>
    </w:p>
    <w:p w14:paraId="2161DF96">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eastAsia="zh-CN"/>
        </w:rPr>
        <w:t>1 坚持生态为本、自然循环，注重源头管控，加强多专业协同，注重多目标融合，考虑后期运维成本，从“源头减排、过程控制、系统治理”着手，综合采用“渗、滞、蓄、净、用、排”等技术措施；</w:t>
      </w:r>
    </w:p>
    <w:p w14:paraId="72B7A585">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eastAsia="zh-CN"/>
        </w:rPr>
        <w:t>2 明确屋面、地面、广场、道路、绿地雨水径流组织路径，优先将雨水引入海绵城市设施进行下渗、蓄存、利用，超标雨水再进入市政管网；</w:t>
      </w:r>
    </w:p>
    <w:p w14:paraId="2285453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eastAsia="zh-CN"/>
        </w:rPr>
        <w:t>3 结合遂宁本地特色，选择透水铺装、绿色屋顶、下沉式绿地、植草沟、雨水花园等低成本、易维护的海绵城市设施；</w:t>
      </w:r>
    </w:p>
    <w:p w14:paraId="3BC0ED4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eastAsia="zh-CN"/>
        </w:rPr>
        <w:t>4 根据雨水径流路径，合理布局海绵城市设施，确保各设施的位置和占地面积满足设计要求，下沉式绿地、植草沟等设施的标高应低于周边地面，便于雨水汇集和下渗。</w:t>
      </w:r>
    </w:p>
    <w:p w14:paraId="75A1D91D">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通过遂宁特色海绵措施打造遂宁特色住区：</w:t>
      </w:r>
    </w:p>
    <w:p w14:paraId="7ABF343C">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“微创”型雨水井口</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通过小范围的改造提升雨水井的排水效率和防堵塞能力，“微创”改造将雨水对径流的污染减少70%以上；</w:t>
      </w:r>
    </w:p>
    <w:p w14:paraId="294F2393">
      <w:pPr>
        <w:spacing w:line="360" w:lineRule="auto"/>
        <w:ind w:firstLine="420" w:firstLineChars="200"/>
        <w:rPr>
          <w:rFonts w:hint="default" w:ascii="Times New Roman" w:hAnsi="Times New Roman" w:cs="Times New Roman"/>
          <w:color w:val="auto"/>
          <w:highlight w:val="none"/>
        </w:rPr>
      </w:pPr>
    </w:p>
    <w:p w14:paraId="69722980">
      <w:pPr>
        <w:spacing w:line="360" w:lineRule="auto"/>
        <w:ind w:firstLine="420" w:firstLineChars="200"/>
        <w:rPr>
          <w:rFonts w:hint="default" w:ascii="Times New Roman" w:hAnsi="Times New Roman" w:cs="Times New Roman"/>
          <w:color w:val="auto"/>
          <w:highlight w:val="none"/>
        </w:rPr>
      </w:pPr>
    </w:p>
    <w:p w14:paraId="1A56FD27">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991995" cy="1877060"/>
            <wp:effectExtent l="0" t="0" r="8255" b="8890"/>
            <wp:docPr id="8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pic:cNvPicPr>
                      <a:picLocks noChangeAspect="1"/>
                    </pic:cNvPicPr>
                  </pic:nvPicPr>
                  <pic:blipFill>
                    <a:blip r:embed="rId22"/>
                    <a:srcRect l="3372" r="7000"/>
                    <a:stretch>
                      <a:fillRect/>
                    </a:stretch>
                  </pic:blipFill>
                  <pic:spPr>
                    <a:xfrm>
                      <a:off x="0" y="0"/>
                      <a:ext cx="1991995" cy="1877060"/>
                    </a:xfrm>
                    <a:prstGeom prst="rect">
                      <a:avLst/>
                    </a:prstGeom>
                  </pic:spPr>
                </pic:pic>
              </a:graphicData>
            </a:graphic>
          </wp:inline>
        </w:drawing>
      </w:r>
      <w:r>
        <w:rPr>
          <w:rFonts w:hint="default" w:ascii="Times New Roman" w:hAnsi="Times New Roman" w:cs="Times New Roman"/>
          <w:color w:val="auto"/>
          <w:highlight w:val="none"/>
        </w:rPr>
        <w:drawing>
          <wp:inline distT="0" distB="0" distL="114300" distR="114300">
            <wp:extent cx="2050415" cy="1737995"/>
            <wp:effectExtent l="0" t="0" r="6985" b="14605"/>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23"/>
                    <a:stretch>
                      <a:fillRect/>
                    </a:stretch>
                  </pic:blipFill>
                  <pic:spPr>
                    <a:xfrm>
                      <a:off x="0" y="0"/>
                      <a:ext cx="2050415" cy="1737995"/>
                    </a:xfrm>
                    <a:prstGeom prst="rect">
                      <a:avLst/>
                    </a:prstGeom>
                  </pic:spPr>
                </pic:pic>
              </a:graphicData>
            </a:graphic>
          </wp:inline>
        </w:drawing>
      </w:r>
    </w:p>
    <w:p w14:paraId="17E8DC04">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cs="Times New Roman"/>
          <w:color w:val="auto"/>
          <w:highlight w:val="none"/>
        </w:rPr>
      </w:pPr>
      <w:r>
        <w:rPr>
          <w:rFonts w:hint="default" w:ascii="Times New Roman" w:hAnsi="Times New Roman" w:eastAsia="仿宋" w:cs="Times New Roman"/>
          <w:b w:val="0"/>
          <w:bCs w:val="0"/>
          <w:color w:val="auto"/>
          <w:sz w:val="28"/>
          <w:szCs w:val="28"/>
          <w:highlight w:val="none"/>
          <w:lang w:val="en-US" w:eastAsia="zh-CN"/>
        </w:rPr>
        <w:t>图2-2-</w:t>
      </w:r>
      <w:r>
        <w:rPr>
          <w:rFonts w:hint="default" w:ascii="Times New Roman" w:hAnsi="Times New Roman" w:eastAsia="仿宋" w:cs="Times New Roman"/>
          <w:b w:val="0"/>
          <w:bCs w:val="0"/>
          <w:color w:val="auto"/>
          <w:sz w:val="28"/>
          <w:szCs w:val="28"/>
          <w:highlight w:val="none"/>
          <w:lang w:val="en-GB" w:eastAsia="zh-CN"/>
        </w:rPr>
        <w:t>8</w:t>
      </w:r>
      <w:r>
        <w:rPr>
          <w:rFonts w:hint="default" w:ascii="Times New Roman" w:hAnsi="Times New Roman" w:eastAsia="仿宋" w:cs="Times New Roman"/>
          <w:b w:val="0"/>
          <w:bCs w:val="0"/>
          <w:color w:val="auto"/>
          <w:sz w:val="28"/>
          <w:szCs w:val="28"/>
          <w:highlight w:val="none"/>
          <w:lang w:val="en-US" w:eastAsia="zh-CN"/>
        </w:rPr>
        <w:t>“微创”型雨水井口示意图（左）、整体透水混凝土道路示意图</w:t>
      </w:r>
      <w:bookmarkStart w:id="25" w:name="OLE_LINK54"/>
      <w:bookmarkStart w:id="26" w:name="OLE_LINK55"/>
      <w:r>
        <w:rPr>
          <w:rFonts w:hint="default" w:ascii="Times New Roman" w:hAnsi="Times New Roman" w:eastAsia="仿宋" w:cs="Times New Roman"/>
          <w:b w:val="0"/>
          <w:bCs w:val="0"/>
          <w:color w:val="auto"/>
          <w:sz w:val="28"/>
          <w:szCs w:val="28"/>
          <w:highlight w:val="none"/>
          <w:lang w:val="en-US" w:eastAsia="zh-CN"/>
        </w:rPr>
        <w:t>（右）</w:t>
      </w:r>
    </w:p>
    <w:bookmarkEnd w:id="25"/>
    <w:bookmarkEnd w:id="26"/>
    <w:p w14:paraId="4F8064A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整体透水混凝土道路</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路面雨水渗入粘砂石层上方，经开孔路沿石、多孔砖等结构渗入人行道下方的碎石渗透带；</w:t>
      </w:r>
    </w:p>
    <w:p w14:paraId="0D45E2ED">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钢带波纹管蓄水带</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大口径钢带波纹管均匀布局于碎石渗透带之中，并分段设置检查井；</w:t>
      </w:r>
    </w:p>
    <w:p w14:paraId="60944113">
      <w:pPr>
        <w:spacing w:line="360" w:lineRule="auto"/>
        <w:ind w:firstLine="420" w:firstLineChars="200"/>
        <w:jc w:val="center"/>
        <w:rPr>
          <w:rFonts w:hint="default" w:ascii="Times New Roman" w:hAnsi="Times New Roman" w:cs="Times New Roman"/>
          <w:bCs/>
          <w:color w:val="auto"/>
          <w:highlight w:val="none"/>
        </w:rPr>
      </w:pPr>
      <w:r>
        <w:rPr>
          <w:rFonts w:hint="default" w:ascii="Times New Roman" w:hAnsi="Times New Roman" w:cs="Times New Roman"/>
          <w:color w:val="auto"/>
          <w:highlight w:val="none"/>
        </w:rPr>
        <w:drawing>
          <wp:inline distT="0" distB="0" distL="114300" distR="114300">
            <wp:extent cx="2618740" cy="1503045"/>
            <wp:effectExtent l="0" t="0" r="10160" b="190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4"/>
                    <a:stretch>
                      <a:fillRect/>
                    </a:stretch>
                  </pic:blipFill>
                  <pic:spPr>
                    <a:xfrm>
                      <a:off x="0" y="0"/>
                      <a:ext cx="2618740" cy="1503045"/>
                    </a:xfrm>
                    <a:prstGeom prst="rect">
                      <a:avLst/>
                    </a:prstGeom>
                  </pic:spPr>
                </pic:pic>
              </a:graphicData>
            </a:graphic>
          </wp:inline>
        </w:drawing>
      </w:r>
      <w:r>
        <w:rPr>
          <w:rFonts w:hint="default" w:ascii="Times New Roman" w:hAnsi="Times New Roman" w:cs="Times New Roman"/>
          <w:color w:val="auto"/>
          <w:highlight w:val="none"/>
        </w:rPr>
        <w:drawing>
          <wp:inline distT="0" distB="0" distL="114300" distR="114300">
            <wp:extent cx="2050415" cy="1490980"/>
            <wp:effectExtent l="0" t="0" r="6985" b="1397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5"/>
                    <a:stretch>
                      <a:fillRect/>
                    </a:stretch>
                  </pic:blipFill>
                  <pic:spPr>
                    <a:xfrm>
                      <a:off x="0" y="0"/>
                      <a:ext cx="2050415" cy="1490980"/>
                    </a:xfrm>
                    <a:prstGeom prst="rect">
                      <a:avLst/>
                    </a:prstGeom>
                  </pic:spPr>
                </pic:pic>
              </a:graphicData>
            </a:graphic>
          </wp:inline>
        </w:drawing>
      </w:r>
    </w:p>
    <w:p w14:paraId="1FE83BA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bookmarkStart w:id="27" w:name="OLE_LINK56"/>
      <w:r>
        <w:rPr>
          <w:rFonts w:hint="default" w:ascii="Times New Roman" w:hAnsi="Times New Roman" w:eastAsia="仿宋" w:cs="Times New Roman"/>
          <w:b w:val="0"/>
          <w:bCs w:val="0"/>
          <w:color w:val="auto"/>
          <w:sz w:val="28"/>
          <w:szCs w:val="28"/>
          <w:highlight w:val="none"/>
          <w:lang w:val="en-US" w:eastAsia="zh-CN"/>
        </w:rPr>
        <w:t>图2-2-</w:t>
      </w:r>
      <w:r>
        <w:rPr>
          <w:rFonts w:hint="default" w:ascii="Times New Roman" w:hAnsi="Times New Roman" w:eastAsia="仿宋" w:cs="Times New Roman"/>
          <w:b w:val="0"/>
          <w:bCs w:val="0"/>
          <w:color w:val="auto"/>
          <w:sz w:val="28"/>
          <w:szCs w:val="28"/>
          <w:highlight w:val="none"/>
          <w:lang w:val="en-GB" w:eastAsia="zh-CN"/>
        </w:rPr>
        <w:t>9</w:t>
      </w:r>
      <w:r>
        <w:rPr>
          <w:rFonts w:hint="default" w:ascii="Times New Roman" w:hAnsi="Times New Roman" w:eastAsia="仿宋" w:cs="Times New Roman"/>
          <w:b w:val="0"/>
          <w:bCs w:val="0"/>
          <w:color w:val="auto"/>
          <w:sz w:val="28"/>
          <w:szCs w:val="28"/>
          <w:highlight w:val="none"/>
          <w:lang w:val="en-US" w:eastAsia="zh-CN"/>
        </w:rPr>
        <w:t xml:space="preserve"> </w:t>
      </w:r>
      <w:bookmarkEnd w:id="27"/>
      <w:r>
        <w:rPr>
          <w:rFonts w:hint="default" w:ascii="Times New Roman" w:hAnsi="Times New Roman" w:eastAsia="仿宋" w:cs="Times New Roman"/>
          <w:b w:val="0"/>
          <w:bCs w:val="0"/>
          <w:color w:val="auto"/>
          <w:sz w:val="28"/>
          <w:szCs w:val="28"/>
          <w:highlight w:val="none"/>
          <w:lang w:val="en-US" w:eastAsia="zh-CN"/>
        </w:rPr>
        <w:t>钢带波纹管蓄水带示意图（左）、卓筒井渗透设施示意图（右）</w:t>
      </w:r>
    </w:p>
    <w:p w14:paraId="4851038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卓筒井渗透设施</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通过渗透井将碎石、钢带波纹管等人工小海绵与地下天然砂卵石层大海绵有效连通。</w:t>
      </w:r>
    </w:p>
    <w:p w14:paraId="0B509EE2">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在海绵住区景观提升方面，参照设计导则分别对建成区住宅和新建区住宅提出指标控制，确定透水铺装率、下沉式绿地率、屋顶绿地率的引导性要求：</w:t>
      </w:r>
    </w:p>
    <w:p w14:paraId="060856B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建成区海绵住区控制植物净化设施在10%</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15%，透水路面40%，绿色屋顶10%的海绵指标；</w:t>
      </w:r>
    </w:p>
    <w:p w14:paraId="75FCA809">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新建区按照低层、多层、高层住宅分别进行海绵指标管控，其中：低层住宅指标控制为：植物净化设施70%，透水路面60%；多层住宅指标控制为：植物净化设施60%，透水路面60%，绿色屋顶50%；高层住宅指标控制：植物净化设施60%，透水路面60%，绿色屋顶50%。</w:t>
      </w:r>
    </w:p>
    <w:p w14:paraId="00CB8C97">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506980" cy="2414270"/>
            <wp:effectExtent l="0" t="0" r="7620" b="508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06980" cy="2414270"/>
                    </a:xfrm>
                    <a:prstGeom prst="rect">
                      <a:avLst/>
                    </a:prstGeom>
                  </pic:spPr>
                </pic:pic>
              </a:graphicData>
            </a:graphic>
          </wp:inline>
        </w:drawing>
      </w:r>
      <w:r>
        <w:rPr>
          <w:rFonts w:hint="default" w:ascii="Times New Roman" w:hAnsi="Times New Roman" w:cs="Times New Roman"/>
          <w:color w:val="auto"/>
          <w:highlight w:val="none"/>
        </w:rPr>
        <w:drawing>
          <wp:inline distT="0" distB="0" distL="114300" distR="114300">
            <wp:extent cx="2478405" cy="2406650"/>
            <wp:effectExtent l="0" t="0" r="17145"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78405" cy="2406650"/>
                    </a:xfrm>
                    <a:prstGeom prst="rect">
                      <a:avLst/>
                    </a:prstGeom>
                  </pic:spPr>
                </pic:pic>
              </a:graphicData>
            </a:graphic>
          </wp:inline>
        </w:drawing>
      </w:r>
    </w:p>
    <w:p w14:paraId="3C114A1F">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eastAsia="仿宋" w:cs="Times New Roman"/>
          <w:b w:val="0"/>
          <w:bCs w:val="0"/>
          <w:color w:val="auto"/>
          <w:sz w:val="28"/>
          <w:szCs w:val="28"/>
          <w:highlight w:val="none"/>
          <w:lang w:val="en-US" w:eastAsia="zh-CN"/>
        </w:rPr>
        <w:t>图2-2-1</w:t>
      </w:r>
      <w:r>
        <w:rPr>
          <w:rFonts w:hint="default" w:ascii="Times New Roman" w:hAnsi="Times New Roman" w:eastAsia="仿宋" w:cs="Times New Roman"/>
          <w:b w:val="0"/>
          <w:bCs w:val="0"/>
          <w:color w:val="auto"/>
          <w:sz w:val="28"/>
          <w:szCs w:val="28"/>
          <w:highlight w:val="none"/>
          <w:lang w:val="en-GB" w:eastAsia="zh-CN"/>
        </w:rPr>
        <w:t>0</w:t>
      </w:r>
      <w:r>
        <w:rPr>
          <w:rFonts w:hint="default" w:ascii="Times New Roman" w:hAnsi="Times New Roman" w:eastAsia="仿宋" w:cs="Times New Roman"/>
          <w:b w:val="0"/>
          <w:bCs w:val="0"/>
          <w:color w:val="auto"/>
          <w:sz w:val="28"/>
          <w:szCs w:val="28"/>
          <w:highlight w:val="none"/>
          <w:lang w:val="en-US" w:eastAsia="zh-CN"/>
        </w:rPr>
        <w:t xml:space="preserve"> 建成区老城区景观提升示意图（左）、新建区低层住宅景观提升示意图（右）</w:t>
      </w:r>
    </w:p>
    <w:p w14:paraId="44971F13">
      <w:pPr>
        <w:spacing w:line="360" w:lineRule="auto"/>
        <w:jc w:val="center"/>
        <w:rPr>
          <w:rFonts w:hint="default" w:ascii="Times New Roman" w:hAnsi="Times New Roman" w:cs="Times New Roman"/>
          <w:color w:val="auto"/>
          <w:highlight w:val="none"/>
          <w:lang w:eastAsia="zh-CN"/>
        </w:rPr>
      </w:pPr>
    </w:p>
    <w:p w14:paraId="7E6252E5">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268855" cy="2235200"/>
            <wp:effectExtent l="0" t="0" r="17145" b="1270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68855" cy="2235200"/>
                    </a:xfrm>
                    <a:prstGeom prst="rect">
                      <a:avLst/>
                    </a:prstGeom>
                  </pic:spPr>
                </pic:pic>
              </a:graphicData>
            </a:graphic>
          </wp:inline>
        </w:drawing>
      </w:r>
      <w:r>
        <w:rPr>
          <w:rFonts w:hint="default" w:ascii="Times New Roman" w:hAnsi="Times New Roman" w:cs="Times New Roman"/>
          <w:color w:val="auto"/>
          <w:highlight w:val="none"/>
        </w:rPr>
        <w:drawing>
          <wp:inline distT="0" distB="0" distL="114300" distR="114300">
            <wp:extent cx="2352040" cy="2277745"/>
            <wp:effectExtent l="0" t="0" r="10160" b="825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52040" cy="2277745"/>
                    </a:xfrm>
                    <a:prstGeom prst="rect">
                      <a:avLst/>
                    </a:prstGeom>
                  </pic:spPr>
                </pic:pic>
              </a:graphicData>
            </a:graphic>
          </wp:inline>
        </w:drawing>
      </w:r>
    </w:p>
    <w:p w14:paraId="207C40F1">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图2-2-1</w:t>
      </w:r>
      <w:r>
        <w:rPr>
          <w:rFonts w:hint="default" w:ascii="Times New Roman" w:hAnsi="Times New Roman" w:eastAsia="仿宋" w:cs="Times New Roman"/>
          <w:b w:val="0"/>
          <w:bCs w:val="0"/>
          <w:color w:val="auto"/>
          <w:sz w:val="28"/>
          <w:szCs w:val="28"/>
          <w:highlight w:val="none"/>
          <w:lang w:val="en-GB" w:eastAsia="zh-CN"/>
        </w:rPr>
        <w:t>1</w:t>
      </w:r>
      <w:r>
        <w:rPr>
          <w:rFonts w:hint="default" w:ascii="Times New Roman" w:hAnsi="Times New Roman" w:eastAsia="仿宋" w:cs="Times New Roman"/>
          <w:b w:val="0"/>
          <w:bCs w:val="0"/>
          <w:color w:val="auto"/>
          <w:sz w:val="28"/>
          <w:szCs w:val="28"/>
          <w:highlight w:val="none"/>
          <w:lang w:val="en-US" w:eastAsia="zh-CN"/>
        </w:rPr>
        <w:t xml:space="preserve"> 新建区多层住宅景观提升示意图（左）、新建区高层住宅景观提升示意图（右）</w:t>
      </w:r>
    </w:p>
    <w:p w14:paraId="7EF31410">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住区应结合当地规划建设实际情况进行海绵城市专项设计，并符合以下要求：</w:t>
      </w:r>
    </w:p>
    <w:p w14:paraId="402A3E88">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可渗透地面面积比例不应小于45%；</w:t>
      </w:r>
    </w:p>
    <w:p w14:paraId="2CA553B6">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下凹式绿地、雨水花园等有调蓄雨水功能的绿地和水体的面积之和占绿地面积的比例应达到40%，并应设置溢流口或草地雨水口，溢流口顶部标高应高于绿地50mm</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100mm；</w:t>
      </w:r>
    </w:p>
    <w:p w14:paraId="75355B4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规划场地地表和屋面雨水径流，年径流总量控制率不低于70%。</w:t>
      </w:r>
    </w:p>
    <w:p w14:paraId="7478139D">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住区应在出入口、单元大堂设置非接触门禁系统，能够保护住户隐私信息，具有权限管理、记录查询等功能竞争力和能力。</w:t>
      </w:r>
    </w:p>
    <w:p w14:paraId="3DC57886">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住区主入口、主要道路、重要活动场所、单元内等关键位置，应设置高清数字视频监控，住区周界应设置周界摄像机或电子围栏等防护设施。</w:t>
      </w:r>
    </w:p>
    <w:p w14:paraId="2C8BD7F2">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住区内应设置高空抛物监控和全景摄像头，老年活动场地和儿童活动场地应设置无死角监控，住区内的水域、电力电信设施、公园绿地等应实行24h监控。</w:t>
      </w:r>
    </w:p>
    <w:p w14:paraId="617D295D">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住宅电梯应设置智能监测设备，防止电动非机动车及充电电池进入。</w:t>
      </w:r>
    </w:p>
    <w:p w14:paraId="5A9B8068">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主要出入口、室外场地、公共绿地相互之间应设置连贯的无障碍步行系统，并提供配套的休憩设施。建筑应结合主出入口设置无障碍出入口，通过无障碍通道应能直达无障碍电梯候梯厅。</w:t>
      </w:r>
    </w:p>
    <w:p w14:paraId="3B42F31F">
      <w:pPr>
        <w:numPr>
          <w:ilvl w:val="2"/>
          <w:numId w:val="5"/>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bookmarkStart w:id="28" w:name="OLE_LINK3"/>
      <w:r>
        <w:rPr>
          <w:rFonts w:hint="default" w:ascii="Times New Roman" w:hAnsi="Times New Roman" w:eastAsia="仿宋" w:cs="Times New Roman"/>
          <w:b w:val="0"/>
          <w:bCs w:val="0"/>
          <w:color w:val="auto"/>
          <w:sz w:val="28"/>
          <w:szCs w:val="28"/>
          <w:highlight w:val="none"/>
          <w:lang w:val="en-US" w:eastAsia="zh-CN"/>
        </w:rPr>
        <w:t>住区</w:t>
      </w:r>
      <w:bookmarkEnd w:id="28"/>
      <w:r>
        <w:rPr>
          <w:rFonts w:hint="default" w:ascii="Times New Roman" w:hAnsi="Times New Roman" w:eastAsia="仿宋" w:cs="Times New Roman"/>
          <w:b w:val="0"/>
          <w:bCs w:val="0"/>
          <w:color w:val="auto"/>
          <w:sz w:val="28"/>
          <w:szCs w:val="28"/>
          <w:highlight w:val="none"/>
          <w:lang w:val="en-US" w:eastAsia="zh-CN"/>
        </w:rPr>
        <w:t>应注重改善各类人群的健康状态，宜构建疗愈景观体系。鼓励住区景观通过增强五感疗愈等方式，打造更有利于健康的物理环境：</w:t>
      </w:r>
    </w:p>
    <w:p w14:paraId="0F03B9BE">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适老健康品质优化提升中应从老年人实际感知视角出发，关注绿地空间恢复性特征对老年人各类健康行为活动的影响，从而提升住区绿地空间的老年人心理健康促进效应；</w:t>
      </w:r>
    </w:p>
    <w:p w14:paraId="7315C087">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儿童互动设施应在满足相关规范要求的基础上进行专项设计，应选择低甲醛、强吸附、强净化材料，并注重防滑、防撞等安全性要求；活动场地应采用软性地面铺装，色彩宜鲜明，铺装材料应符合国家相关环保要求；儿童活动场地宜配置休息座椅，室外休息座椅应设置树木</w:t>
      </w:r>
      <w:r>
        <w:rPr>
          <w:rFonts w:hint="eastAsia" w:ascii="Times New Roman" w:hAnsi="Times New Roman" w:eastAsia="仿宋" w:cs="Times New Roman"/>
          <w:b w:val="0"/>
          <w:bCs w:val="0"/>
          <w:color w:val="auto"/>
          <w:sz w:val="28"/>
          <w:szCs w:val="28"/>
          <w:highlight w:val="none"/>
          <w:lang w:val="en-US" w:eastAsia="zh-CN"/>
        </w:rPr>
        <w:t>遮阴</w:t>
      </w:r>
      <w:r>
        <w:rPr>
          <w:rFonts w:hint="default" w:ascii="Times New Roman" w:hAnsi="Times New Roman" w:eastAsia="仿宋" w:cs="Times New Roman"/>
          <w:b w:val="0"/>
          <w:bCs w:val="0"/>
          <w:color w:val="auto"/>
          <w:sz w:val="28"/>
          <w:szCs w:val="28"/>
          <w:highlight w:val="none"/>
          <w:lang w:val="en-US" w:eastAsia="zh-CN"/>
        </w:rPr>
        <w:t>或</w:t>
      </w:r>
      <w:r>
        <w:rPr>
          <w:rFonts w:hint="eastAsia" w:ascii="Times New Roman" w:hAnsi="Times New Roman" w:eastAsia="仿宋" w:cs="Times New Roman"/>
          <w:b w:val="0"/>
          <w:bCs w:val="0"/>
          <w:color w:val="auto"/>
          <w:sz w:val="28"/>
          <w:szCs w:val="28"/>
          <w:highlight w:val="none"/>
          <w:lang w:val="en-US" w:eastAsia="zh-CN"/>
        </w:rPr>
        <w:t>其他遮阴</w:t>
      </w:r>
      <w:r>
        <w:rPr>
          <w:rFonts w:hint="default" w:ascii="Times New Roman" w:hAnsi="Times New Roman" w:eastAsia="仿宋" w:cs="Times New Roman"/>
          <w:b w:val="0"/>
          <w:bCs w:val="0"/>
          <w:color w:val="auto"/>
          <w:sz w:val="28"/>
          <w:szCs w:val="28"/>
          <w:highlight w:val="none"/>
          <w:lang w:val="en-US" w:eastAsia="zh-CN"/>
        </w:rPr>
        <w:t>设施；</w:t>
      </w:r>
    </w:p>
    <w:p w14:paraId="128E004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114300" distR="114300">
            <wp:extent cx="4737100" cy="3315335"/>
            <wp:effectExtent l="0" t="0" r="6350" b="184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7100" cy="3315335"/>
                    </a:xfrm>
                    <a:prstGeom prst="rect">
                      <a:avLst/>
                    </a:prstGeom>
                  </pic:spPr>
                </pic:pic>
              </a:graphicData>
            </a:graphic>
          </wp:inline>
        </w:drawing>
      </w:r>
    </w:p>
    <w:p w14:paraId="5FACDAF0">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图2-2-1</w:t>
      </w:r>
      <w:r>
        <w:rPr>
          <w:rFonts w:hint="default" w:ascii="Times New Roman" w:hAnsi="Times New Roman" w:eastAsia="仿宋" w:cs="Times New Roman"/>
          <w:b w:val="0"/>
          <w:bCs w:val="0"/>
          <w:color w:val="auto"/>
          <w:sz w:val="28"/>
          <w:szCs w:val="28"/>
          <w:highlight w:val="none"/>
          <w:lang w:val="en-GB" w:eastAsia="zh-CN"/>
        </w:rPr>
        <w:t>2</w:t>
      </w:r>
      <w:r>
        <w:rPr>
          <w:rFonts w:hint="default" w:ascii="Times New Roman" w:hAnsi="Times New Roman" w:eastAsia="仿宋" w:cs="Times New Roman"/>
          <w:b w:val="0"/>
          <w:bCs w:val="0"/>
          <w:color w:val="auto"/>
          <w:sz w:val="28"/>
          <w:szCs w:val="28"/>
          <w:highlight w:val="none"/>
          <w:lang w:val="en-US" w:eastAsia="zh-CN"/>
        </w:rPr>
        <w:t xml:space="preserve"> 适幼设施引导图</w:t>
      </w:r>
    </w:p>
    <w:p w14:paraId="1145A63B">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疗愈感受品质优化提升中应注重从植被配置、材料质感、声光色彩、场所营造等细节出发，挖掘并彰显社区景观的健康价值。</w:t>
      </w:r>
    </w:p>
    <w:p w14:paraId="307F9188">
      <w:pPr>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br w:type="page"/>
      </w:r>
    </w:p>
    <w:p w14:paraId="78CD0135">
      <w:pPr>
        <w:numPr>
          <w:ilvl w:val="0"/>
          <w:numId w:val="1"/>
        </w:numPr>
        <w:jc w:val="center"/>
        <w:outlineLvl w:val="0"/>
        <w:rPr>
          <w:rFonts w:hint="default" w:ascii="Times New Roman" w:hAnsi="Times New Roman" w:eastAsia="黑体" w:cs="Times New Roman"/>
          <w:b/>
          <w:bCs/>
          <w:color w:val="auto"/>
          <w:sz w:val="30"/>
          <w:szCs w:val="30"/>
          <w:highlight w:val="none"/>
          <w:lang w:val="en-US" w:eastAsia="zh-CN"/>
        </w:rPr>
      </w:pPr>
      <w:bookmarkStart w:id="29" w:name="_Toc21553"/>
      <w:r>
        <w:rPr>
          <w:rFonts w:hint="default" w:ascii="Times New Roman" w:hAnsi="Times New Roman" w:eastAsia="黑体" w:cs="Times New Roman"/>
          <w:b/>
          <w:bCs/>
          <w:color w:val="auto"/>
          <w:sz w:val="30"/>
          <w:szCs w:val="30"/>
          <w:highlight w:val="none"/>
          <w:lang w:val="en-US" w:eastAsia="zh-CN"/>
        </w:rPr>
        <w:t>住宅设计</w:t>
      </w:r>
      <w:bookmarkEnd w:id="29"/>
    </w:p>
    <w:p w14:paraId="43E78C8A">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0" w:name="_Toc5227"/>
      <w:r>
        <w:rPr>
          <w:rFonts w:hint="default" w:ascii="Times New Roman" w:hAnsi="Times New Roman" w:eastAsia="黑体" w:cs="Times New Roman"/>
          <w:b/>
          <w:bCs/>
          <w:color w:val="auto"/>
          <w:sz w:val="28"/>
          <w:szCs w:val="28"/>
          <w:highlight w:val="none"/>
          <w:lang w:val="en-US" w:eastAsia="zh-CN"/>
        </w:rPr>
        <w:t>建筑设计</w:t>
      </w:r>
      <w:bookmarkEnd w:id="30"/>
    </w:p>
    <w:p w14:paraId="465A82D1">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住宅空间应按套型设计，并应设起居室（厅）、卧室、厨房、卫生间等基本功能空间，宜设置书房、入口玄关、景观阳台和生活阳台、衣帽间、储藏间等其他功能空间。</w:t>
      </w:r>
    </w:p>
    <w:p w14:paraId="242509CD">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住宅各功能空间应明确合理，实现洁污分离和动静分离。合理安排各空间序列，减少交通面积，组织好公共空间和私密空间的关系，避免相邻住户的视线及噪声干扰。</w:t>
      </w:r>
    </w:p>
    <w:p w14:paraId="57BD7E7E">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套型设计中各房间应方正，宜南北通透，主要使用空间不宜出现梁、柱等结构构件，鼓励采用轻质隔墙或可移动家具，以满足未来改造所需。</w:t>
      </w:r>
    </w:p>
    <w:p w14:paraId="18579AC2">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新建住宅层高不应低于3.0m，且满足下列要求：低层住宅层高不宜低于3.3m；多层住宅层高不宜低于3.1m；设有户式中央空调和集中新风系统的住宅，层高不应低于3.1m。卧室、起居室室内梁下净高不应低于2.6m，局部梁下净高不应低于2.4m。局部净高低于2.6m的面积不应大于室内使用面积的1/3，局部净高低于2.4m的面积不应大于室内使用面积的1/10。厨房、卫生间等辅助空间装修后净高不应低于 2.2m。鼓励有条件的项目适度加大空间高度。</w:t>
      </w:r>
    </w:p>
    <w:p w14:paraId="75DCE88C">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697855" cy="1852295"/>
            <wp:effectExtent l="0" t="0" r="171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697855" cy="1852295"/>
                    </a:xfrm>
                    <a:prstGeom prst="rect">
                      <a:avLst/>
                    </a:prstGeom>
                    <a:ln>
                      <a:noFill/>
                    </a:ln>
                  </pic:spPr>
                </pic:pic>
              </a:graphicData>
            </a:graphic>
          </wp:inline>
        </w:drawing>
      </w:r>
    </w:p>
    <w:p w14:paraId="5EF53309">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 xml:space="preserve"> </w:t>
      </w:r>
      <w:r>
        <w:rPr>
          <w:rFonts w:hint="default" w:ascii="Times New Roman" w:hAnsi="Times New Roman" w:eastAsia="仿宋" w:cs="Times New Roman"/>
          <w:b w:val="0"/>
          <w:bCs w:val="0"/>
          <w:color w:val="auto"/>
          <w:sz w:val="28"/>
          <w:szCs w:val="28"/>
          <w:highlight w:val="none"/>
          <w:lang w:val="en-US" w:eastAsia="zh-CN"/>
        </w:rPr>
        <w:t>建筑层高图示</w:t>
      </w:r>
    </w:p>
    <w:p w14:paraId="04165662">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633980" cy="2076450"/>
            <wp:effectExtent l="0" t="0" r="13970" b="0"/>
            <wp:docPr id="5" name="图片 4" descr="D8139F0252ADB31B8F1886B2BAB5D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8139F0252ADB31B8F1886B2BAB5DB25"/>
                    <pic:cNvPicPr>
                      <a:picLocks noChangeAspect="1"/>
                    </pic:cNvPicPr>
                  </pic:nvPicPr>
                  <pic:blipFill>
                    <a:blip r:embed="rId32"/>
                    <a:srcRect t="48826"/>
                    <a:stretch>
                      <a:fillRect/>
                    </a:stretch>
                  </pic:blipFill>
                  <pic:spPr>
                    <a:xfrm>
                      <a:off x="0" y="0"/>
                      <a:ext cx="2633980" cy="2076450"/>
                    </a:xfrm>
                    <a:prstGeom prst="rect">
                      <a:avLst/>
                    </a:prstGeom>
                  </pic:spPr>
                </pic:pic>
              </a:graphicData>
            </a:graphic>
          </wp:inline>
        </w:drawing>
      </w:r>
      <w:r>
        <w:rPr>
          <w:rFonts w:hint="default" w:ascii="Times New Roman" w:hAnsi="Times New Roman" w:cs="Times New Roman"/>
          <w:color w:val="auto"/>
          <w:highlight w:val="none"/>
        </w:rPr>
        <w:drawing>
          <wp:inline distT="0" distB="0" distL="114300" distR="114300">
            <wp:extent cx="2763520" cy="2070735"/>
            <wp:effectExtent l="0" t="0" r="17780" b="5715"/>
            <wp:docPr id="6" name="图片 3" descr="D8139F0252ADB31B8F1886B2BAB5D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8139F0252ADB31B8F1886B2BAB5DB25"/>
                    <pic:cNvPicPr>
                      <a:picLocks noChangeAspect="1"/>
                    </pic:cNvPicPr>
                  </pic:nvPicPr>
                  <pic:blipFill>
                    <a:blip r:embed="rId32"/>
                    <a:srcRect b="51362"/>
                    <a:stretch>
                      <a:fillRect/>
                    </a:stretch>
                  </pic:blipFill>
                  <pic:spPr>
                    <a:xfrm>
                      <a:off x="0" y="0"/>
                      <a:ext cx="2763520" cy="2070735"/>
                    </a:xfrm>
                    <a:prstGeom prst="rect">
                      <a:avLst/>
                    </a:prstGeom>
                  </pic:spPr>
                </pic:pic>
              </a:graphicData>
            </a:graphic>
          </wp:inline>
        </w:drawing>
      </w:r>
    </w:p>
    <w:p w14:paraId="01EBB353">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2 建筑净高图示</w:t>
      </w:r>
    </w:p>
    <w:p w14:paraId="404171D2">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入户玄关宜相对独立，有一定的仪式感和遮蔽性。入户玄关通道除开鞋柜等家具后，净宽不宜小于1.2m。</w:t>
      </w:r>
    </w:p>
    <w:p w14:paraId="21520DF1">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起居室减少直接开向起居室的门洞数量，至少一侧的墙面直线长度不宜小于3.0m，设柜式空调时不宜小于3.3m。推行“起居+”复合模式，与餐厅、书房、阳台开放式大空间、洄游式动线、弹性隔断系统，增加空间趣味性。</w:t>
      </w:r>
    </w:p>
    <w:p w14:paraId="298A48D7">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厨房宜长边与餐厅相对，面积不宜小于5.0㎡，操作台面总长不宜少于3.0m。厨房可与起居厅、餐厅一体化设计，宜设置降温设施。</w:t>
      </w:r>
    </w:p>
    <w:p w14:paraId="41C2E1BE">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卫生间</w:t>
      </w:r>
      <w:r>
        <w:rPr>
          <w:rFonts w:hint="eastAsia" w:ascii="Times New Roman" w:hAnsi="Times New Roman" w:eastAsia="仿宋" w:cs="Times New Roman"/>
          <w:b w:val="0"/>
          <w:bCs w:val="0"/>
          <w:color w:val="auto"/>
          <w:sz w:val="28"/>
          <w:szCs w:val="28"/>
          <w:highlight w:val="none"/>
          <w:lang w:val="en-US" w:eastAsia="zh-CN"/>
        </w:rPr>
        <w:t>如厕</w:t>
      </w:r>
      <w:r>
        <w:rPr>
          <w:rFonts w:hint="default" w:ascii="Times New Roman" w:hAnsi="Times New Roman" w:eastAsia="仿宋" w:cs="Times New Roman"/>
          <w:b w:val="0"/>
          <w:bCs w:val="0"/>
          <w:color w:val="auto"/>
          <w:sz w:val="28"/>
          <w:szCs w:val="28"/>
          <w:highlight w:val="none"/>
          <w:lang w:val="en-US" w:eastAsia="zh-CN"/>
        </w:rPr>
        <w:t>空间、盥洗空间、洗浴空间宜独立布置。应强化五防系统：防水、防臭、防滑、防霉、防撞。采用推拉门，预留无障碍设施空间。</w:t>
      </w:r>
    </w:p>
    <w:p w14:paraId="7209C51A">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生活阳台开门净宽度不宜小于0.8m。景观阳台可考虑与起居室、书房空间等形成洄游动线或完整大空间。</w:t>
      </w:r>
    </w:p>
    <w:p w14:paraId="2E147748">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住房套内空间应满足无障碍的要求，并应符合下列规定：</w:t>
      </w:r>
    </w:p>
    <w:p w14:paraId="186F4218">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户门的门槛高度和户门内外高差不应大于15mm，厨房、卫生间与相邻空间地面的高差不应大于15mm，并应以斜坡过渡；</w:t>
      </w:r>
    </w:p>
    <w:p w14:paraId="390CEF1F">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当卫生间门向内开启时，应预留向外开启或推拉式开启的空间条件；</w:t>
      </w:r>
    </w:p>
    <w:p w14:paraId="039E2451">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卫生间便器和洗浴器旁应设扶手或预留安装条件；</w:t>
      </w:r>
    </w:p>
    <w:p w14:paraId="4A1E262C">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老年人使用的卫生间应紧邻老年人卧室布置。</w:t>
      </w:r>
    </w:p>
    <w:p w14:paraId="60C57B9F">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单元出入口、架空层出入口处应设置雨篷等防坠落措施，雨篷挑出长度不应小于1.5m。除出入口外，高层住宅周边应设置不小于2.5m宽的防止高空坠物绿化缓冲区或隔离带，建筑高度大于54m时，缓冲区宽度不小于3.0m。</w:t>
      </w:r>
      <w:r>
        <w:rPr>
          <w:rFonts w:hint="eastAsia" w:ascii="Times New Roman" w:hAnsi="Times New Roman" w:eastAsia="仿宋" w:cs="Times New Roman"/>
          <w:b w:val="0"/>
          <w:bCs w:val="0"/>
          <w:color w:val="auto"/>
          <w:sz w:val="28"/>
          <w:szCs w:val="28"/>
          <w:highlight w:val="none"/>
          <w:lang w:val="en-US" w:eastAsia="zh-CN"/>
        </w:rPr>
        <w:t>绿化</w:t>
      </w:r>
      <w:r>
        <w:rPr>
          <w:rFonts w:hint="default" w:ascii="Times New Roman" w:hAnsi="Times New Roman" w:eastAsia="仿宋" w:cs="Times New Roman"/>
          <w:b w:val="0"/>
          <w:bCs w:val="0"/>
          <w:color w:val="auto"/>
          <w:sz w:val="28"/>
          <w:szCs w:val="28"/>
          <w:highlight w:val="none"/>
          <w:lang w:val="en-US" w:eastAsia="zh-CN"/>
        </w:rPr>
        <w:t>缓冲区或隔离带应避免遮挡安防监控，绿化种植应选择低矮灌木，高度不大于1.2m。</w:t>
      </w:r>
    </w:p>
    <w:p w14:paraId="7467FC2B">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单元入户平台与室外地坪宜以缓坡相接，台阶与坡道并行设置，坡道两侧设防撞挡台并设置轮椅回转空间，宜采用合适的智能门禁系统，方便住户和访客使用。</w:t>
      </w:r>
    </w:p>
    <w:p w14:paraId="66047087">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住宅公共走道净宽不应小于1.2m，最低点净高不应低于2.3m。外开入户门开启范围外侧宜预留不小于0.6m的安全距离。</w:t>
      </w:r>
    </w:p>
    <w:p w14:paraId="2B9F34FE">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最高入户层为二层及二层以上的住宅建筑，每个住宅单元应设置电梯，且至少应设置1台可容纳担架的电梯。</w:t>
      </w:r>
    </w:p>
    <w:p w14:paraId="34B0A457">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每单元应至少有</w:t>
      </w:r>
      <w:r>
        <w:rPr>
          <w:rFonts w:hint="eastAsia" w:ascii="Times New Roman" w:hAnsi="Times New Roman" w:eastAsia="仿宋" w:cs="Times New Roman"/>
          <w:b w:val="0"/>
          <w:bCs w:val="0"/>
          <w:color w:val="auto"/>
          <w:sz w:val="28"/>
          <w:szCs w:val="28"/>
          <w:highlight w:val="none"/>
          <w:lang w:val="en-US" w:eastAsia="zh-CN"/>
        </w:rPr>
        <w:t>一台</w:t>
      </w:r>
      <w:r>
        <w:rPr>
          <w:rFonts w:hint="default" w:ascii="Times New Roman" w:hAnsi="Times New Roman" w:eastAsia="仿宋" w:cs="Times New Roman"/>
          <w:b w:val="0"/>
          <w:bCs w:val="0"/>
          <w:color w:val="auto"/>
          <w:sz w:val="28"/>
          <w:szCs w:val="28"/>
          <w:highlight w:val="none"/>
          <w:lang w:val="en-US" w:eastAsia="zh-CN"/>
        </w:rPr>
        <w:t>电梯满足无障碍设计要求。楼梯双侧设置连续扶手，踏步边缘设防滑条和颜色对比警示线。</w:t>
      </w:r>
    </w:p>
    <w:p w14:paraId="3F6C6D61">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地下机动车库应合理布置地下归家动线，在各单元入口处应设置地下门厅。停车位不应占用通往住宅地下门厅的人行道，人行道宽度不应小于1.2m。</w:t>
      </w:r>
    </w:p>
    <w:p w14:paraId="03DA4257">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地下室、地下车库应将出入口的防汛挡水设施纳入设计和建设，除设置防水反坡、截水沟、集水坑或排水沟和排水系统等排水防涝设施设备和措施外，还应根据小区、建筑物周边排水特点，在出入口处设置必要的专用收纳式防汛挡水设施，并形成闭环挡水体系，控制水流进入地下室、地下车库。</w:t>
      </w:r>
    </w:p>
    <w:p w14:paraId="48C419D4">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上人屋面应做好防渗防漏措施，可利用空间预留种植、晾晒条件；屋顶管道、设备宜集中规划和布置，便于人员疏散顺畅和屋面充分利用。</w:t>
      </w:r>
    </w:p>
    <w:p w14:paraId="751BDC74">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屋顶采用一级防水标准，新建住宅建筑采用太阳能热水系统、光伏系统时，应统一规划、同步设计、同步施工，且太阳能热水系统、光伏系统的设置应符合下列规定：</w:t>
      </w:r>
    </w:p>
    <w:p w14:paraId="6411213D">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应与建筑主体结构连接牢固；</w:t>
      </w:r>
    </w:p>
    <w:p w14:paraId="7DE7AC37">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应采取防水、密封和排水构造措施；</w:t>
      </w:r>
    </w:p>
    <w:p w14:paraId="28A9E42C">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不应破坏住宅建筑防水层及附属设施。</w:t>
      </w:r>
    </w:p>
    <w:p w14:paraId="3CC79CBF">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在住宅空间设计时，鼓励充分考虑全生命周期可变性户型需求，通过改变套型平面空间的组合 方式、数量、形态以及尺寸等，为家庭结构的变化和生活方式的变化预留空间调整的可能性。</w:t>
      </w:r>
    </w:p>
    <w:p w14:paraId="78F6ECEF">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遵循通用设计原则，确保所有居住者，包括儿童、老年人和残疾人，都能方便使用。</w:t>
      </w:r>
    </w:p>
    <w:p w14:paraId="70339CB8">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住宅隔声降噪性能应符合下列规定</w:t>
      </w:r>
      <w:r>
        <w:rPr>
          <w:rFonts w:hint="eastAsia" w:ascii="Times New Roman" w:hAnsi="Times New Roman" w:eastAsia="仿宋" w:cs="Times New Roman"/>
          <w:b w:val="0"/>
          <w:bCs w:val="0"/>
          <w:color w:val="auto"/>
          <w:sz w:val="28"/>
          <w:szCs w:val="28"/>
          <w:highlight w:val="none"/>
          <w:lang w:val="en-US" w:eastAsia="zh-CN"/>
        </w:rPr>
        <w:t>：</w:t>
      </w:r>
    </w:p>
    <w:p w14:paraId="681A16C4">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住宅宜采用吸声材料、浮筑楼板、架空地板、地板辐射采暖等提高隔声性能的措施</w:t>
      </w:r>
      <w:r>
        <w:rPr>
          <w:rFonts w:hint="eastAsia" w:ascii="Times New Roman" w:hAnsi="Times New Roman" w:eastAsia="仿宋" w:cs="Times New Roman"/>
          <w:b w:val="0"/>
          <w:bCs w:val="0"/>
          <w:color w:val="auto"/>
          <w:sz w:val="28"/>
          <w:szCs w:val="28"/>
          <w:highlight w:val="none"/>
          <w:lang w:val="en-US" w:eastAsia="zh-CN"/>
        </w:rPr>
        <w:t>；</w:t>
      </w:r>
    </w:p>
    <w:p w14:paraId="7ADC741D">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卧室室内噪声限值昼间不应大于40dB</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A</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，夜间不应大于30dB</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A</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；起居厅室内噪声限值不应大于40dB</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A</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w:t>
      </w:r>
    </w:p>
    <w:p w14:paraId="3439ED09">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毗邻主要噪声源的建筑，不宜把对噪声敏感的房间布置在临噪声源一侧；</w:t>
      </w:r>
    </w:p>
    <w:p w14:paraId="6AABBA23">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起居室、卧室分户楼板撞击声不应高于65dB（以计权标准化撞击声压级L</w:t>
      </w:r>
      <w:r>
        <w:rPr>
          <w:rFonts w:hint="default" w:ascii="Times New Roman" w:hAnsi="Times New Roman" w:eastAsia="仿宋" w:cs="Times New Roman"/>
          <w:b w:val="0"/>
          <w:bCs w:val="0"/>
          <w:color w:val="auto"/>
          <w:sz w:val="28"/>
          <w:szCs w:val="28"/>
          <w:highlight w:val="none"/>
          <w:lang w:val="en-GB" w:eastAsia="zh-CN"/>
        </w:rPr>
        <w:t>’</w:t>
      </w:r>
      <w:r>
        <w:rPr>
          <w:rFonts w:hint="default" w:ascii="Times New Roman" w:hAnsi="Times New Roman" w:eastAsia="仿宋" w:cs="Times New Roman"/>
          <w:b w:val="0"/>
          <w:bCs w:val="0"/>
          <w:color w:val="auto"/>
          <w:sz w:val="28"/>
          <w:szCs w:val="28"/>
          <w:highlight w:val="none"/>
          <w:lang w:val="en-US" w:eastAsia="zh-CN"/>
        </w:rPr>
        <w:t>nT</w:t>
      </w:r>
      <w:r>
        <w:rPr>
          <w:rFonts w:hint="default" w:ascii="Times New Roman" w:hAnsi="Times New Roman" w:eastAsia="仿宋" w:cs="Times New Roman"/>
          <w:b w:val="0"/>
          <w:bCs w:val="0"/>
          <w:color w:val="auto"/>
          <w:sz w:val="28"/>
          <w:szCs w:val="28"/>
          <w:highlight w:val="none"/>
          <w:lang w:val="en-GB" w:eastAsia="zh-CN"/>
        </w:rPr>
        <w:t>,</w:t>
      </w:r>
      <w:r>
        <w:rPr>
          <w:rFonts w:hint="default" w:ascii="Times New Roman" w:hAnsi="Times New Roman" w:eastAsia="仿宋" w:cs="Times New Roman"/>
          <w:b w:val="0"/>
          <w:bCs w:val="0"/>
          <w:color w:val="auto"/>
          <w:sz w:val="28"/>
          <w:szCs w:val="28"/>
          <w:highlight w:val="none"/>
          <w:lang w:val="en-US" w:eastAsia="zh-CN"/>
        </w:rPr>
        <w:t>w计）；</w:t>
      </w:r>
    </w:p>
    <w:p w14:paraId="07B2D917">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5 分户墙两侧设备的安装位置应错开，安装时设备不应直接穿透墙体；当设备管线穿过其他楼板和墙体时，孔洞应采取密封隔声措施；</w:t>
      </w:r>
    </w:p>
    <w:p w14:paraId="786A72FD">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6 供水、空调、通风等设备系统应选用低噪声产品，并应对噪声源、管道等应采取隔震、减震措施，或采取包覆隔声材料等隔声、消声措施；</w:t>
      </w:r>
    </w:p>
    <w:p w14:paraId="6970613B">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7 电梯井道及电梯机房、水泵机房、冷冻机房、通风机房、水池</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箱</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、变电所（含发电机房）等不应紧邻卧室和起居室布置，机房应采取吸声、隔声、隔振措施。</w:t>
      </w:r>
    </w:p>
    <w:p w14:paraId="5ADE8A1B">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住房的户式中央空调室外机、热水器等产生噪声的设备宜布置在远离卧室的位置</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空调管线穿外墙的缝隙应使用软性隔声材料封堵。</w:t>
      </w:r>
    </w:p>
    <w:p w14:paraId="52CDF813">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每套住房卧室、起居室、厨房均应有直接采光，并需符合下列规定：</w:t>
      </w:r>
    </w:p>
    <w:p w14:paraId="7F8C6C1A">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建筑平面不应采用封闭内天井布局，不宜采用长内廊的布局；</w:t>
      </w:r>
    </w:p>
    <w:p w14:paraId="1CEEAA14">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空调板、装饰线脚、北侧外廊不应影响室内采光；</w:t>
      </w:r>
    </w:p>
    <w:p w14:paraId="7880EF36">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卧室、书房、起居室等房间的窗地面积比不应小于1/7；</w:t>
      </w:r>
    </w:p>
    <w:p w14:paraId="3D1CEC45">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室内主要功能空间中，宜至少60%面积比例区域满足采光照度值不低于300lx的小时数平均不少于8h/d。</w:t>
      </w:r>
    </w:p>
    <w:p w14:paraId="7370EB53">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应采取措施保证厨房、卫生间的排风要求，防止污染物扩散到室内其他空间。</w:t>
      </w:r>
    </w:p>
    <w:p w14:paraId="527BF6FA">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1" w:name="_Toc25240"/>
      <w:r>
        <w:rPr>
          <w:rFonts w:hint="default" w:ascii="Times New Roman" w:hAnsi="Times New Roman" w:eastAsia="黑体" w:cs="Times New Roman"/>
          <w:b/>
          <w:bCs/>
          <w:color w:val="auto"/>
          <w:sz w:val="28"/>
          <w:szCs w:val="28"/>
          <w:highlight w:val="none"/>
          <w:lang w:val="en-US" w:eastAsia="zh-CN"/>
        </w:rPr>
        <w:t>结构设计</w:t>
      </w:r>
      <w:bookmarkEnd w:id="31"/>
    </w:p>
    <w:p w14:paraId="2EB3A20C">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客厅活荷载标准值不小于2.5kN/㎡ ，阳台、露台的活荷载取值不小于3.0kN/㎡，存在可变功能空间时应把可变空间的预留荷载考虑在内。</w:t>
      </w:r>
    </w:p>
    <w:p w14:paraId="09BE84CE">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高层住宅，不应采用悬挑长度大于1.5m的悬挑板。</w:t>
      </w:r>
    </w:p>
    <w:p w14:paraId="1E26A572">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地面首层阳台、出入口平台及踏步等构件宜</w:t>
      </w:r>
      <w:r>
        <w:rPr>
          <w:rFonts w:hint="eastAsia" w:ascii="Times New Roman" w:hAnsi="Times New Roman" w:eastAsia="仿宋" w:cs="Times New Roman"/>
          <w:b w:val="0"/>
          <w:bCs w:val="0"/>
          <w:color w:val="auto"/>
          <w:sz w:val="28"/>
          <w:szCs w:val="28"/>
          <w:highlight w:val="none"/>
          <w:lang w:val="en-US" w:eastAsia="zh-CN"/>
        </w:rPr>
        <w:t>支撑</w:t>
      </w:r>
      <w:r>
        <w:rPr>
          <w:rFonts w:hint="default" w:ascii="Times New Roman" w:hAnsi="Times New Roman" w:eastAsia="仿宋" w:cs="Times New Roman"/>
          <w:b w:val="0"/>
          <w:bCs w:val="0"/>
          <w:color w:val="auto"/>
          <w:sz w:val="28"/>
          <w:szCs w:val="28"/>
          <w:highlight w:val="none"/>
          <w:lang w:val="en-US" w:eastAsia="zh-CN"/>
        </w:rPr>
        <w:t>于主体结构上，首层室内地坪宜采用结构梁板。</w:t>
      </w:r>
    </w:p>
    <w:p w14:paraId="243E306A">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楼板、屋面板的单向板跨厚比不应大于30</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双向板不应大于35，楼、屋面板应设置双层双向钢筋，屋面板厚不小于150mm，楼板厚应不小于120mm。</w:t>
      </w:r>
    </w:p>
    <w:p w14:paraId="3B4682C1">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地下室底板厚不小于400mm，应双层双向配筋，钢筋间距不宜大于150mm。</w:t>
      </w:r>
    </w:p>
    <w:p w14:paraId="11B51352">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地下室外墙厚度不小于300mm</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其竖向和水平分布钢筋间距不应大于150mm</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单侧配筋率不应小于0.25%。</w:t>
      </w:r>
    </w:p>
    <w:p w14:paraId="1ECFF551">
      <w:pPr>
        <w:numPr>
          <w:ilvl w:val="2"/>
          <w:numId w:val="7"/>
        </w:numPr>
        <w:tabs>
          <w:tab w:val="left" w:pos="420"/>
        </w:tabs>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在地下室后浇带、变形缝、穿墙管及桩头等细部应进行防水构造设计，设备管线穿越结构构件应预留洞口并采取加强措施。</w:t>
      </w:r>
    </w:p>
    <w:p w14:paraId="74F1943A">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2" w:name="_Toc9843"/>
      <w:r>
        <w:rPr>
          <w:rFonts w:hint="default" w:ascii="Times New Roman" w:hAnsi="Times New Roman" w:eastAsia="黑体" w:cs="Times New Roman"/>
          <w:b/>
          <w:bCs/>
          <w:color w:val="auto"/>
          <w:sz w:val="28"/>
          <w:szCs w:val="28"/>
          <w:highlight w:val="none"/>
          <w:lang w:val="en-US" w:eastAsia="zh-CN"/>
        </w:rPr>
        <w:t>给排水设计</w:t>
      </w:r>
      <w:bookmarkEnd w:id="32"/>
    </w:p>
    <w:p w14:paraId="3C166748">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给水排水系统应符合现行国家有关标准的规定及《四川省住宅设计标准》DBJ51/168、《四川省居住建筑节能设计标准》DB51/5027等地方标准的规定。</w:t>
      </w:r>
    </w:p>
    <w:p w14:paraId="145DCB09">
      <w:pPr>
        <w:pStyle w:val="3"/>
        <w:numPr>
          <w:ilvl w:val="2"/>
          <w:numId w:val="8"/>
        </w:numPr>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kern w:val="2"/>
          <w:sz w:val="28"/>
          <w:szCs w:val="28"/>
          <w:highlight w:val="none"/>
          <w:lang w:val="en-US" w:eastAsia="zh-CN" w:bidi="ar-SA"/>
        </w:rPr>
        <w:t>住区</w:t>
      </w:r>
      <w:r>
        <w:rPr>
          <w:rFonts w:hint="default" w:ascii="Times New Roman" w:hAnsi="Times New Roman" w:eastAsia="仿宋" w:cs="Times New Roman"/>
          <w:b w:val="0"/>
          <w:bCs w:val="0"/>
          <w:color w:val="auto"/>
          <w:kern w:val="2"/>
          <w:sz w:val="28"/>
          <w:szCs w:val="28"/>
          <w:highlight w:val="none"/>
          <w:lang w:val="en-US" w:eastAsia="zh-CN" w:bidi="ar-SA"/>
        </w:rPr>
        <w:t>应设置用水远</w:t>
      </w:r>
      <w:r>
        <w:rPr>
          <w:rFonts w:hint="default" w:ascii="Times New Roman" w:hAnsi="Times New Roman" w:cs="Times New Roman"/>
          <w:color w:val="auto"/>
          <w:highlight w:val="none"/>
          <w:lang w:val="en-US" w:eastAsia="zh-CN"/>
        </w:rPr>
        <w:t>传计量系统及水质在线监测系统，二次加压与调蓄供水系统宜采用智慧管理系统，实时监控供水系统流量、水质、水压和能耗等技术参数，鼓励在生活饮用水水箱上设置流量监控装置，按需调蓄，保障水箱内贮水更新时间。二次供水系统完工后进行消毒、冲洗，并进行水质检查，生活饮用水水质符合现行国家标准《生活饮用水卫生标准》GB5749的规定。</w:t>
      </w:r>
    </w:p>
    <w:p w14:paraId="2A408C0E">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二次供水的水泵机组、消防系统稳压设备、集中热水系统加压设备等平时运行有振动或噪声的设备用房不应设在套内空间的上层、下层或毗邻位置。当设置在地下室时，上述设备用房宜避免设置在住宅建筑外墙轮廓线投影范围内，否则应采取隔声处理措施。</w:t>
      </w:r>
    </w:p>
    <w:p w14:paraId="31692577">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消防水池、雨水蓄水池等水池不应设在套内使用空间的上层、下层或毗邻位置。</w:t>
      </w:r>
    </w:p>
    <w:p w14:paraId="7C755110">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当住宅设置有入户花园或生活阳台时，宜在上述部位安装取水龙头并配置软管快速接头及带有快速接口的软管。</w:t>
      </w:r>
    </w:p>
    <w:p w14:paraId="64C7478D">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住宅入户管的给水压力应保证户内分户设置的水加热器入口、淋浴器接管处给水压力不小于0.12MPa。</w:t>
      </w:r>
    </w:p>
    <w:p w14:paraId="578CDCF7">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户内卫生器具和用水配件应采用节水型产品，卫生间应预留智能洁具安装条件，便器旁宜设置冲洗器接口。各热水用水点宜设置恒温混水阀或者恒温龙头。</w:t>
      </w:r>
    </w:p>
    <w:p w14:paraId="1C4045DC">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户内最远处热水用水点距水加热装置的管道长度在12m以内时，宜设热水循环泵及循环管或配置电伴热保温措施；当上述管道长度超过12m时，应设热水循环泵及循环管或配置电伴热保温措施。</w:t>
      </w:r>
    </w:p>
    <w:p w14:paraId="7E8C8B51">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户内给水管布置应减少出现滞水区，宜采用链状或环状布置。当采用链状布置时，末端卫生器具应为常用卫生器具。</w:t>
      </w:r>
    </w:p>
    <w:p w14:paraId="539E7FA6">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生活给水管道、生活热水管道应采用耐腐蚀、耐久性能好的管材。</w:t>
      </w:r>
    </w:p>
    <w:p w14:paraId="67AA5127">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各类生活供水系统分户水表后应设置止回阀。入户管应在户内设置检修总阀门，设置位置应便于检修、操作。厨房及卫生间宜设置积水探测装置，与入户供水管电动阀联动，并将报警信号反馈给物业服务中心及业主的移动终端。</w:t>
      </w:r>
    </w:p>
    <w:p w14:paraId="5F57E1E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lang w:eastAsia="zh-CN"/>
        </w:rPr>
        <w:drawing>
          <wp:inline distT="0" distB="0" distL="114300" distR="114300">
            <wp:extent cx="2458085" cy="2458085"/>
            <wp:effectExtent l="0" t="0" r="18415" b="18415"/>
            <wp:docPr id="10" name="图片 10" descr="厨房积水探测器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厨房积水探测器示意图"/>
                    <pic:cNvPicPr>
                      <a:picLocks noChangeAspect="1"/>
                    </pic:cNvPicPr>
                  </pic:nvPicPr>
                  <pic:blipFill>
                    <a:blip r:embed="rId33"/>
                    <a:stretch>
                      <a:fillRect/>
                    </a:stretch>
                  </pic:blipFill>
                  <pic:spPr>
                    <a:xfrm>
                      <a:off x="0" y="0"/>
                      <a:ext cx="2458085" cy="2458085"/>
                    </a:xfrm>
                    <a:prstGeom prst="rect">
                      <a:avLst/>
                    </a:prstGeom>
                  </pic:spPr>
                </pic:pic>
              </a:graphicData>
            </a:graphic>
          </wp:inline>
        </w:drawing>
      </w:r>
      <w:r>
        <w:rPr>
          <w:rFonts w:hint="default" w:ascii="Times New Roman" w:hAnsi="Times New Roman" w:eastAsia="宋体" w:cs="Times New Roman"/>
          <w:i w:val="0"/>
          <w:iCs w:val="0"/>
          <w:caps w:val="0"/>
          <w:color w:val="auto"/>
          <w:spacing w:val="0"/>
          <w:sz w:val="21"/>
          <w:szCs w:val="21"/>
          <w:highlight w:val="none"/>
          <w:shd w:val="clear" w:fill="FFFFFF"/>
          <w:lang w:eastAsia="zh-CN"/>
        </w:rPr>
        <w:drawing>
          <wp:inline distT="0" distB="0" distL="114300" distR="114300">
            <wp:extent cx="2494915" cy="2494915"/>
            <wp:effectExtent l="0" t="0" r="635" b="635"/>
            <wp:docPr id="11" name="图片 11" descr="卫生间积水探测器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卫生间积水探测器示意图"/>
                    <pic:cNvPicPr>
                      <a:picLocks noChangeAspect="1"/>
                    </pic:cNvPicPr>
                  </pic:nvPicPr>
                  <pic:blipFill>
                    <a:blip r:embed="rId34"/>
                    <a:stretch>
                      <a:fillRect/>
                    </a:stretch>
                  </pic:blipFill>
                  <pic:spPr>
                    <a:xfrm>
                      <a:off x="0" y="0"/>
                      <a:ext cx="2494915" cy="2494915"/>
                    </a:xfrm>
                    <a:prstGeom prst="rect">
                      <a:avLst/>
                    </a:prstGeom>
                  </pic:spPr>
                </pic:pic>
              </a:graphicData>
            </a:graphic>
          </wp:inline>
        </w:drawing>
      </w:r>
    </w:p>
    <w:p w14:paraId="755FCE0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 厨房及卫生间积水探测器示意图</w:t>
      </w:r>
    </w:p>
    <w:p w14:paraId="53A610DA">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厨房内宜设置直饮水供应点，条件具备时，宜采用集中直饮水系统。</w:t>
      </w:r>
    </w:p>
    <w:p w14:paraId="6B2C15B9">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卫生间及生活阳台地面排水应采用直通地漏，并下设管道式存水弯，地漏宜具有防干涸措施。除选用自带水封的产品外，其余卫生器具应设置管道式存水弯。卫生器具与管道式存水弯连接处应进行密封处理。</w:t>
      </w:r>
    </w:p>
    <w:p w14:paraId="5909BDA2">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住宅厨房和卫生间的排水立管应分别设置，排水横管不得敷设于下层住户的套内空间（阳台除外）</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且排水横管和立管均不应穿越任一层的卧室。</w:t>
      </w:r>
    </w:p>
    <w:p w14:paraId="244082B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rPr>
        <w:drawing>
          <wp:inline distT="0" distB="0" distL="114300" distR="114300">
            <wp:extent cx="4340225" cy="2134235"/>
            <wp:effectExtent l="0" t="0" r="3175" b="18415"/>
            <wp:docPr id="4" name="图片 4" descr="卫生间同层排水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卫生间同层排水图示"/>
                    <pic:cNvPicPr>
                      <a:picLocks noChangeAspect="1"/>
                    </pic:cNvPicPr>
                  </pic:nvPicPr>
                  <pic:blipFill>
                    <a:blip r:embed="rId35"/>
                    <a:stretch>
                      <a:fillRect/>
                    </a:stretch>
                  </pic:blipFill>
                  <pic:spPr>
                    <a:xfrm>
                      <a:off x="0" y="0"/>
                      <a:ext cx="4340225" cy="2134235"/>
                    </a:xfrm>
                    <a:prstGeom prst="rect">
                      <a:avLst/>
                    </a:prstGeom>
                  </pic:spPr>
                </pic:pic>
              </a:graphicData>
            </a:graphic>
          </wp:inline>
        </w:drawing>
      </w:r>
    </w:p>
    <w:p w14:paraId="79DCA73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2 卫生间同层排水示意图</w:t>
      </w:r>
    </w:p>
    <w:p w14:paraId="10A1E225">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住宅建筑底层住户应单独排至室外检查井。</w:t>
      </w:r>
    </w:p>
    <w:p w14:paraId="21C6352B">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与卧室相邻的卫生间的排水立管不应贴邻与卧室共用的墙体，且与卧室相邻的卫生间的排水立管应采用柔性接口机制排水铸铁、HDPE等静音管材或PVC-U双壁中空螺旋消音排水管，室内生活排水立管宜采取隔声包覆处理措施。</w:t>
      </w:r>
    </w:p>
    <w:p w14:paraId="4E792664">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生活阳台及景观阳台排水应单独设置排水立管，接入室外污水系统，不得接入屋面雨水立管。</w:t>
      </w:r>
    </w:p>
    <w:p w14:paraId="1262DC58">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严格执行雨污分流制，应在地块主出入口处预留雨污水接口，室内污水与废水合并排入市政污水管，雨水单独排入雨水管。住区</w:t>
      </w:r>
      <w:r>
        <w:rPr>
          <w:rFonts w:hint="eastAsia" w:ascii="Times New Roman" w:hAnsi="Times New Roman" w:eastAsia="仿宋" w:cs="Times New Roman"/>
          <w:b w:val="0"/>
          <w:bCs w:val="0"/>
          <w:color w:val="auto"/>
          <w:sz w:val="28"/>
          <w:szCs w:val="28"/>
          <w:highlight w:val="none"/>
          <w:lang w:val="en-US" w:eastAsia="zh-CN"/>
        </w:rPr>
        <w:t>排水管</w:t>
      </w:r>
      <w:r>
        <w:rPr>
          <w:rFonts w:hint="default" w:ascii="Times New Roman" w:hAnsi="Times New Roman" w:eastAsia="仿宋" w:cs="Times New Roman"/>
          <w:b w:val="0"/>
          <w:bCs w:val="0"/>
          <w:color w:val="auto"/>
          <w:sz w:val="28"/>
          <w:szCs w:val="28"/>
          <w:highlight w:val="none"/>
          <w:lang w:val="en-US" w:eastAsia="zh-CN"/>
        </w:rPr>
        <w:t>与市政管渠衔接处，排水管的设计水位不应低于市政管渠的设计水位。</w:t>
      </w:r>
    </w:p>
    <w:p w14:paraId="1A001530">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城镇污水集中处理设施及配套管网已覆盖的区域内，不得新建化粪池及相关活性污泥截污池、塘，原有已失去功能作用的化粪池，应当在老旧住区改造中拆除。</w:t>
      </w:r>
    </w:p>
    <w:p w14:paraId="2FCF4451">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室外埋地给排水管优先采用抗压、耐腐蚀的管材（如HDPE管或球墨铸铁管），管道接口需采用柔性连接方式，避免因地基沉降导致接口破裂。施工时需清理接口杂物，严格按规范进行密封处理，并按规定进行闭水试验，防止渗漏。</w:t>
      </w:r>
    </w:p>
    <w:p w14:paraId="246304DE">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检查井内壁需做防水砂浆抹面，井盖基座与井体连接处采用橡胶密封圈，防止渗漏和异味外溢。</w:t>
      </w:r>
    </w:p>
    <w:p w14:paraId="38663DF4">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住区雨水排水应遵循源头减排原则，建设雨水控制与利用设施。降雨的年径流总量和外排径流峰值的控制应符合遂宁市海绵城市建设专项规划要求。</w:t>
      </w:r>
    </w:p>
    <w:p w14:paraId="46C6D470">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3" w:name="_Toc32493"/>
      <w:r>
        <w:rPr>
          <w:rFonts w:hint="default" w:ascii="Times New Roman" w:hAnsi="Times New Roman" w:eastAsia="黑体" w:cs="Times New Roman"/>
          <w:b/>
          <w:bCs/>
          <w:color w:val="auto"/>
          <w:sz w:val="28"/>
          <w:szCs w:val="28"/>
          <w:highlight w:val="none"/>
          <w:lang w:val="en-US" w:eastAsia="zh-CN"/>
        </w:rPr>
        <w:t>电气设计</w:t>
      </w:r>
      <w:bookmarkEnd w:id="33"/>
    </w:p>
    <w:p w14:paraId="1548372A">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变配电设施及家居配电箱宜为住户电气化设备（如：电气化厨房设备、电热水设备、户式中央空调设备、电采暖设备等）预留容量、保护开关，相关电气管线和插座宜一次布置到位。</w:t>
      </w:r>
    </w:p>
    <w:p w14:paraId="1B25AD42">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家居配电箱应按不同用电分类分设保护开关。家居配电箱应设于户内干燥场所且不应设在分户墙上。</w:t>
      </w:r>
    </w:p>
    <w:p w14:paraId="429F8950">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住宅建筑应采用智能远传能耗计量仪表并宜联网提供欠费提醒，便于住户查询和缴费。能耗表宜设在公共区域，不宜设在住户室内。</w:t>
      </w:r>
    </w:p>
    <w:p w14:paraId="52B86583">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公共移动通信信号应能覆盖至住宅建筑的公共空间和电梯轿厢内。</w:t>
      </w:r>
    </w:p>
    <w:p w14:paraId="069FB579">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住宅建筑应设有线电视系统，有线电视设施应采用光缆或同轴电缆以独立专线方式建设。起居室或兼起居室的卧室应设有线电视系统信息端口；家居配线箱的出线管应敷设到有线电视系统信息端口。</w:t>
      </w:r>
    </w:p>
    <w:p w14:paraId="43336F19">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户内照明灯应设置合理，采用节能型光源和灯具；住房卧室至卫生间的过道宜设置具有感应开关的夜间照明设施，夜间生理等效照度≤50lx。住房室内照明的照度、色温、眩光、显色指数和频闪等指标应符合《建筑照明设计标准》GB/T50034的规定。吊装灯具不应安装在床的正上方。</w:t>
      </w:r>
    </w:p>
    <w:p w14:paraId="2F42CE73">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厨房应按各类用电厨具布局设置插座，操作台墙面上设置的插座不应少于3组；卫生间坐便器侧、洗面器侧和厨房洗涤池下方、阳台等处应设置电源插座；电视机、电冰箱、洗衣机、空调、电热设备等应按布置和安装高度，分设电源插座。</w:t>
      </w:r>
    </w:p>
    <w:p w14:paraId="27536AA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outlineLvl w:val="9"/>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2561590" cy="2561590"/>
            <wp:effectExtent l="0" t="0" r="10160" b="10160"/>
            <wp:docPr id="13" name="图片 13" descr="厨房操作台插座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厨房操作台插座 (1)"/>
                    <pic:cNvPicPr>
                      <a:picLocks noChangeAspect="1"/>
                    </pic:cNvPicPr>
                  </pic:nvPicPr>
                  <pic:blipFill>
                    <a:blip r:embed="rId36"/>
                    <a:stretch>
                      <a:fillRect/>
                    </a:stretch>
                  </pic:blipFill>
                  <pic:spPr>
                    <a:xfrm>
                      <a:off x="0" y="0"/>
                      <a:ext cx="2561590" cy="2561590"/>
                    </a:xfrm>
                    <a:prstGeom prst="rect">
                      <a:avLst/>
                    </a:prstGeom>
                  </pic:spPr>
                </pic:pic>
              </a:graphicData>
            </a:graphic>
          </wp:inline>
        </w:drawing>
      </w: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2590800" cy="2590800"/>
            <wp:effectExtent l="0" t="0" r="0" b="0"/>
            <wp:docPr id="14" name="图片 14" descr="卫生间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卫生间插座"/>
                    <pic:cNvPicPr>
                      <a:picLocks noChangeAspect="1"/>
                    </pic:cNvPicPr>
                  </pic:nvPicPr>
                  <pic:blipFill>
                    <a:blip r:embed="rId37"/>
                    <a:stretch>
                      <a:fillRect/>
                    </a:stretch>
                  </pic:blipFill>
                  <pic:spPr>
                    <a:xfrm>
                      <a:off x="0" y="0"/>
                      <a:ext cx="2590800" cy="2590800"/>
                    </a:xfrm>
                    <a:prstGeom prst="rect">
                      <a:avLst/>
                    </a:prstGeom>
                  </pic:spPr>
                </pic:pic>
              </a:graphicData>
            </a:graphic>
          </wp:inline>
        </w:drawing>
      </w:r>
    </w:p>
    <w:p w14:paraId="6B9B149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 厨房、卫生间插座示意</w:t>
      </w:r>
    </w:p>
    <w:p w14:paraId="18133613">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住宅内宜设置燃气泄漏、火灾报警装置，并与住区管理中心防盗防灾监控网络系统相连。</w:t>
      </w:r>
    </w:p>
    <w:p w14:paraId="1E371752">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住宅套内应预留AI智能声控系统、家用监控摄像头、智能马桶盖、电动升降置物架或晾衣架、智能电动窗帘、智能浴室柜、智能扫地机器人等电器设备的电源。</w:t>
      </w:r>
    </w:p>
    <w:p w14:paraId="7F4E8599">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及其配套的公共建筑的楼梯、走道、无障碍坡道及住区的室外通道、地下车库等公共场所，应设置充足的节能型照明灯，并采用分区、定时、感应、智能控制等节能控制措施。在室内公共区域有高差、踏步等场所处设置局部照明。</w:t>
      </w:r>
    </w:p>
    <w:p w14:paraId="6CD546B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4838700" cy="2432050"/>
            <wp:effectExtent l="0" t="0" r="0" b="6350"/>
            <wp:docPr id="15" name="图片 15" descr="绘制线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绘制线路示意图"/>
                    <pic:cNvPicPr>
                      <a:picLocks noChangeAspect="1"/>
                    </pic:cNvPicPr>
                  </pic:nvPicPr>
                  <pic:blipFill>
                    <a:blip r:embed="rId38"/>
                    <a:stretch>
                      <a:fillRect/>
                    </a:stretch>
                  </pic:blipFill>
                  <pic:spPr>
                    <a:xfrm>
                      <a:off x="0" y="0"/>
                      <a:ext cx="4838700" cy="2432050"/>
                    </a:xfrm>
                    <a:prstGeom prst="rect">
                      <a:avLst/>
                    </a:prstGeom>
                  </pic:spPr>
                </pic:pic>
              </a:graphicData>
            </a:graphic>
          </wp:inline>
        </w:drawing>
      </w:r>
    </w:p>
    <w:p w14:paraId="525843B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2 局部照明示意图</w:t>
      </w:r>
    </w:p>
    <w:p w14:paraId="12EE1F09">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单元入户门厅内应设置单独回路的紧急救护插座，并设置醒目标识。住宅入户大堂或电梯厅应预留信息发布电源插座。电梯轿厢内应预留空调用电电源。</w:t>
      </w:r>
    </w:p>
    <w:p w14:paraId="5FF115C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4144645" cy="3747770"/>
            <wp:effectExtent l="0" t="0" r="8255" b="5080"/>
            <wp:docPr id="16" name="图片 16" descr="入户大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入户大厅 (1)"/>
                    <pic:cNvPicPr>
                      <a:picLocks noChangeAspect="1"/>
                    </pic:cNvPicPr>
                  </pic:nvPicPr>
                  <pic:blipFill>
                    <a:blip r:embed="rId39"/>
                    <a:stretch>
                      <a:fillRect/>
                    </a:stretch>
                  </pic:blipFill>
                  <pic:spPr>
                    <a:xfrm>
                      <a:off x="0" y="0"/>
                      <a:ext cx="4144645" cy="3747770"/>
                    </a:xfrm>
                    <a:prstGeom prst="rect">
                      <a:avLst/>
                    </a:prstGeom>
                  </pic:spPr>
                </pic:pic>
              </a:graphicData>
            </a:graphic>
          </wp:inline>
        </w:drawing>
      </w:r>
    </w:p>
    <w:p w14:paraId="0321CC7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3 入户大厅紧急救护插座示意</w:t>
      </w:r>
    </w:p>
    <w:p w14:paraId="21F8268F">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老年人及儿童活动场地设置应急报警装置及无死角监控。</w:t>
      </w:r>
    </w:p>
    <w:p w14:paraId="489DAB70">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电动车充电设施应设置完善的电气保护及监控装置。电动自行车充电设施应具备充满自动断电功能。</w:t>
      </w:r>
    </w:p>
    <w:p w14:paraId="413883C7">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住宅建筑的电梯、生活泵、通道照明（包括室外、地下车库等照明）、物业管理、安防等公共设施宜设置自备发电机电源或预留应急电源接入条件。</w:t>
      </w:r>
    </w:p>
    <w:p w14:paraId="13837A80">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变电所和柴油机房等电气机房不应对住户造成噪音和电磁辐射等影响。</w:t>
      </w:r>
    </w:p>
    <w:p w14:paraId="6F9194FF">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5255260" cy="3282315"/>
            <wp:effectExtent l="0" t="0" r="2540" b="13335"/>
            <wp:docPr id="8" name="图片 8" descr="柴油发电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柴油发电机房"/>
                    <pic:cNvPicPr>
                      <a:picLocks noChangeAspect="1"/>
                    </pic:cNvPicPr>
                  </pic:nvPicPr>
                  <pic:blipFill>
                    <a:blip r:embed="rId40"/>
                    <a:stretch>
                      <a:fillRect/>
                    </a:stretch>
                  </pic:blipFill>
                  <pic:spPr>
                    <a:xfrm>
                      <a:off x="0" y="0"/>
                      <a:ext cx="5255260" cy="3282315"/>
                    </a:xfrm>
                    <a:prstGeom prst="rect">
                      <a:avLst/>
                    </a:prstGeom>
                  </pic:spPr>
                </pic:pic>
              </a:graphicData>
            </a:graphic>
          </wp:inline>
        </w:drawing>
      </w:r>
    </w:p>
    <w:p w14:paraId="12203D31">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4 柴油发电机房示意</w:t>
      </w:r>
    </w:p>
    <w:p w14:paraId="7AEB10AC">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公共区域明敷设的配电线路（包括在电气竖井内明敷设的电缆和电气槽盒内敷设的线缆），应采用低烟低毒线缆；住户内线路应采用铜芯导线。户内穿线管应采用B1级难燃电线管或金属导管；采用装配式装修，线路敷设在墙面空腔内或架空地面内时，应采用金属导管或封闭金属槽盒。</w:t>
      </w:r>
    </w:p>
    <w:p w14:paraId="7CB93B86">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应采取措施控制室外景观和楼体亮化等照明对住户产生的光污染，住宅窗户外表面垂直照度限值不应超过《市容环卫工程项目规范》GB55013-2021的规定。</w:t>
      </w:r>
    </w:p>
    <w:p w14:paraId="4DE4B710">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住宅建筑景观照明部位的</w:t>
      </w:r>
      <w:r>
        <w:rPr>
          <w:rFonts w:hint="eastAsia" w:ascii="Times New Roman" w:hAnsi="Times New Roman" w:eastAsia="仿宋" w:cs="Times New Roman"/>
          <w:b w:val="0"/>
          <w:bCs w:val="0"/>
          <w:color w:val="auto"/>
          <w:sz w:val="28"/>
          <w:szCs w:val="28"/>
          <w:highlight w:val="none"/>
          <w:lang w:val="en-US" w:eastAsia="zh-CN"/>
        </w:rPr>
        <w:t>安装</w:t>
      </w:r>
      <w:r>
        <w:rPr>
          <w:rFonts w:hint="default" w:ascii="Times New Roman" w:hAnsi="Times New Roman" w:eastAsia="仿宋" w:cs="Times New Roman"/>
          <w:b w:val="0"/>
          <w:bCs w:val="0"/>
          <w:color w:val="auto"/>
          <w:sz w:val="28"/>
          <w:szCs w:val="28"/>
          <w:highlight w:val="none"/>
          <w:lang w:val="en-US" w:eastAsia="zh-CN"/>
        </w:rPr>
        <w:t>避免光污染</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采取必要措施，严控灯具眩光。</w:t>
      </w:r>
    </w:p>
    <w:p w14:paraId="646A942F">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4" w:name="_Toc15312"/>
      <w:r>
        <w:rPr>
          <w:rFonts w:hint="default" w:ascii="Times New Roman" w:hAnsi="Times New Roman" w:eastAsia="黑体" w:cs="Times New Roman"/>
          <w:b/>
          <w:bCs/>
          <w:color w:val="auto"/>
          <w:sz w:val="28"/>
          <w:szCs w:val="28"/>
          <w:highlight w:val="none"/>
          <w:lang w:val="en-US" w:eastAsia="zh-CN"/>
        </w:rPr>
        <w:t>暖通设计</w:t>
      </w:r>
      <w:bookmarkEnd w:id="34"/>
    </w:p>
    <w:p w14:paraId="282F35A7">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套内供暖系统末端宜采用辐射式系统，实现分室温控。</w:t>
      </w:r>
    </w:p>
    <w:p w14:paraId="5EC8DF9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2484755" cy="2951480"/>
            <wp:effectExtent l="0" t="0" r="10795" b="1270"/>
            <wp:docPr id="19" name="图片 19" descr="地暖分室温控示意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暖分室温控示意图 (1)"/>
                    <pic:cNvPicPr>
                      <a:picLocks noChangeAspect="1"/>
                    </pic:cNvPicPr>
                  </pic:nvPicPr>
                  <pic:blipFill>
                    <a:blip r:embed="rId41"/>
                    <a:stretch>
                      <a:fillRect/>
                    </a:stretch>
                  </pic:blipFill>
                  <pic:spPr>
                    <a:xfrm>
                      <a:off x="0" y="0"/>
                      <a:ext cx="2484755" cy="2951480"/>
                    </a:xfrm>
                    <a:prstGeom prst="rect">
                      <a:avLst/>
                    </a:prstGeom>
                  </pic:spPr>
                </pic:pic>
              </a:graphicData>
            </a:graphic>
          </wp:inline>
        </w:drawing>
      </w:r>
    </w:p>
    <w:p w14:paraId="23CE4EF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5</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1 地暖分室温控示意</w:t>
      </w:r>
    </w:p>
    <w:p w14:paraId="3B3180A1">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厨房应设置排风系统和补风措施，宜设置厨房专用空调设施。</w:t>
      </w:r>
    </w:p>
    <w:p w14:paraId="4A95ECE0">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排油烟道应满足每户吸油烟机300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500m³/h的排气量要求；可采用在排气道顶部设风帽等措施确保排气道干管的风压低于排气道支管的风压，防止厨房串味。</w:t>
      </w:r>
    </w:p>
    <w:p w14:paraId="6E364E2D">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无外窗的卫生间应设置机械排风或预留安装条件。单个卫生间排风量不应小于3次。排风可同层排出或通过专用排风竖井（共用排气道）排出，排出口应有防风、防雨措施。</w:t>
      </w:r>
    </w:p>
    <w:p w14:paraId="410EFA8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drawing>
          <wp:inline distT="0" distB="0" distL="114300" distR="114300">
            <wp:extent cx="4642485" cy="1377950"/>
            <wp:effectExtent l="0" t="0" r="5715" b="12700"/>
            <wp:docPr id="7" name="图片 7" descr="排气道示意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排气道示意图 (2)"/>
                    <pic:cNvPicPr>
                      <a:picLocks noChangeAspect="1"/>
                    </pic:cNvPicPr>
                  </pic:nvPicPr>
                  <pic:blipFill>
                    <a:blip r:embed="rId42"/>
                    <a:stretch>
                      <a:fillRect/>
                    </a:stretch>
                  </pic:blipFill>
                  <pic:spPr>
                    <a:xfrm>
                      <a:off x="0" y="0"/>
                      <a:ext cx="4642485" cy="1377950"/>
                    </a:xfrm>
                    <a:prstGeom prst="rect">
                      <a:avLst/>
                    </a:prstGeom>
                  </pic:spPr>
                </pic:pic>
              </a:graphicData>
            </a:graphic>
          </wp:inline>
        </w:drawing>
      </w:r>
    </w:p>
    <w:p w14:paraId="796C540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rPr>
        <w:t>图</w:t>
      </w:r>
      <w:r>
        <w:rPr>
          <w:rFonts w:hint="default"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5</w:t>
      </w:r>
      <w:r>
        <w:rPr>
          <w:rFonts w:hint="default" w:ascii="Times New Roman" w:hAnsi="Times New Roman" w:eastAsia="仿宋" w:cs="Times New Roman"/>
          <w:b w:val="0"/>
          <w:bCs w:val="0"/>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2 排气道示意图</w:t>
      </w:r>
    </w:p>
    <w:p w14:paraId="54AE8A64">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住宅地下室排风井的百叶位置应利于气流扩散，不应设于卧室外窗正下方，并应避免取、排风口短路。当风井在架空区范围内时，应布置在架空区边缘，排风（排风兼排烟）井的百叶应开向架空区外侧，取风井百叶可开向架空区内侧。</w:t>
      </w:r>
    </w:p>
    <w:p w14:paraId="07EA46C9">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采用户式新风系统的住宅，新风系统的设计应考虑检修维护的便利性。</w:t>
      </w:r>
    </w:p>
    <w:p w14:paraId="0A9C256C">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住宅设置户式中央空调时，各功能房间应设置分室温控装置。应在结构墙体、梁等处预埋新风管、冷媒管、冷凝水管等管道套管。冷凝水管应有坡度，确保冷凝水排放通畅。</w:t>
      </w:r>
    </w:p>
    <w:p w14:paraId="163F0244">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住宅设置分体空调时，所有居住空间和书房、家庭间等有人员休息、工作、娱乐的房间均应设空调并预留专用插座和穿墙孔。</w:t>
      </w:r>
    </w:p>
    <w:p w14:paraId="5066DC3D">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空调室内机送风口宜可调节送风方向，并避免直吹床头或沙发；回风口应有便于拆卸更换的过滤装置。</w:t>
      </w:r>
    </w:p>
    <w:p w14:paraId="38AC1D37">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电梯轿厢内应设置通风或空调设施。</w:t>
      </w:r>
    </w:p>
    <w:p w14:paraId="0239CE10">
      <w:pPr>
        <w:pStyle w:val="3"/>
        <w:numPr>
          <w:ilvl w:val="2"/>
          <w:numId w:val="10"/>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eastAsia="仿宋" w:cs="Times New Roman"/>
          <w:color w:val="auto"/>
          <w:kern w:val="2"/>
          <w:sz w:val="28"/>
          <w:szCs w:val="28"/>
          <w:highlight w:val="none"/>
          <w:lang w:val="en-US" w:eastAsia="zh-CN" w:bidi="ar-SA"/>
        </w:rPr>
        <w:t>若空调系统</w:t>
      </w:r>
      <w:r>
        <w:rPr>
          <w:rFonts w:hint="eastAsia" w:ascii="Times New Roman" w:hAnsi="Times New Roman" w:cs="Times New Roman"/>
          <w:color w:val="auto"/>
          <w:kern w:val="2"/>
          <w:sz w:val="28"/>
          <w:szCs w:val="28"/>
          <w:highlight w:val="none"/>
          <w:lang w:val="en-US" w:eastAsia="zh-CN" w:bidi="ar-SA"/>
        </w:rPr>
        <w:t>必须</w:t>
      </w:r>
      <w:r>
        <w:rPr>
          <w:rFonts w:hint="default" w:ascii="Times New Roman" w:hAnsi="Times New Roman" w:eastAsia="仿宋" w:cs="Times New Roman"/>
          <w:color w:val="auto"/>
          <w:kern w:val="2"/>
          <w:sz w:val="28"/>
          <w:szCs w:val="28"/>
          <w:highlight w:val="none"/>
          <w:lang w:val="en-US" w:eastAsia="zh-CN" w:bidi="ar-SA"/>
        </w:rPr>
        <w:t>布置室外冷却塔</w:t>
      </w:r>
      <w:r>
        <w:rPr>
          <w:rFonts w:hint="default" w:ascii="Times New Roman" w:hAnsi="Times New Roman" w:cs="Times New Roman"/>
          <w:color w:val="auto"/>
          <w:kern w:val="2"/>
          <w:sz w:val="28"/>
          <w:szCs w:val="28"/>
          <w:highlight w:val="none"/>
          <w:lang w:val="en-US" w:eastAsia="zh-CN" w:bidi="ar-SA"/>
        </w:rPr>
        <w:t>，</w:t>
      </w:r>
      <w:r>
        <w:rPr>
          <w:rFonts w:hint="default" w:ascii="Times New Roman" w:hAnsi="Times New Roman" w:eastAsia="仿宋" w:cs="Times New Roman"/>
          <w:color w:val="auto"/>
          <w:kern w:val="2"/>
          <w:sz w:val="28"/>
          <w:szCs w:val="28"/>
          <w:highlight w:val="none"/>
          <w:lang w:val="en-US" w:eastAsia="zh-CN" w:bidi="ar-SA"/>
        </w:rPr>
        <w:t>冷却塔选型与布置要合理</w:t>
      </w:r>
      <w:r>
        <w:rPr>
          <w:rFonts w:hint="default" w:ascii="Times New Roman" w:hAnsi="Times New Roman" w:cs="Times New Roman"/>
          <w:color w:val="auto"/>
          <w:kern w:val="2"/>
          <w:sz w:val="28"/>
          <w:szCs w:val="28"/>
          <w:highlight w:val="none"/>
          <w:lang w:val="en-US" w:eastAsia="zh-CN" w:bidi="ar-SA"/>
        </w:rPr>
        <w:t>，</w:t>
      </w:r>
      <w:r>
        <w:rPr>
          <w:rFonts w:hint="default" w:ascii="Times New Roman" w:hAnsi="Times New Roman" w:eastAsia="仿宋" w:cs="Times New Roman"/>
          <w:color w:val="auto"/>
          <w:kern w:val="2"/>
          <w:sz w:val="28"/>
          <w:szCs w:val="28"/>
          <w:highlight w:val="none"/>
          <w:lang w:val="en-US" w:eastAsia="zh-CN" w:bidi="ar-SA"/>
        </w:rPr>
        <w:t>避免设备运行时对周边居民的噪声影响。</w:t>
      </w:r>
    </w:p>
    <w:p w14:paraId="62155B91">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5" w:name="_Toc23266"/>
      <w:r>
        <w:rPr>
          <w:rFonts w:hint="default" w:ascii="Times New Roman" w:hAnsi="Times New Roman" w:eastAsia="黑体" w:cs="Times New Roman"/>
          <w:b/>
          <w:bCs/>
          <w:color w:val="auto"/>
          <w:sz w:val="28"/>
          <w:szCs w:val="28"/>
          <w:highlight w:val="none"/>
          <w:lang w:val="en-US" w:eastAsia="zh-CN"/>
        </w:rPr>
        <w:t>绿色低碳设计</w:t>
      </w:r>
      <w:bookmarkEnd w:id="35"/>
    </w:p>
    <w:p w14:paraId="2075F1B7">
      <w:pPr>
        <w:pStyle w:val="3"/>
        <w:numPr>
          <w:ilvl w:val="2"/>
          <w:numId w:val="11"/>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设计应符合现行《绿色建筑评价标准》GB/T 50378、《四川省绿色建筑评价标准》DBJ51/T 009一星级标准，宜符合二星级及以上标准。</w:t>
      </w:r>
    </w:p>
    <w:p w14:paraId="134452BE">
      <w:pPr>
        <w:pStyle w:val="3"/>
        <w:numPr>
          <w:ilvl w:val="2"/>
          <w:numId w:val="11"/>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住宅绿色建材使用量不应少于所用建筑材料的40%。应按照“被动措施优先、主动措施优化”的原则，优化建筑形体、空间布局，充分利用天然采光、自然通风，改善保温隔热措施，提高设备能源利用效率，降低建筑的用能。</w:t>
      </w:r>
    </w:p>
    <w:p w14:paraId="26544115">
      <w:pPr>
        <w:pStyle w:val="3"/>
        <w:numPr>
          <w:ilvl w:val="2"/>
          <w:numId w:val="11"/>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2台及2台以上的客梯集中布置时，应采取群控、变频调速或能量反馈等节能措施。践行零碳理念，让节能先行。</w:t>
      </w:r>
    </w:p>
    <w:p w14:paraId="7CC583EB">
      <w:pPr>
        <w:pStyle w:val="3"/>
        <w:numPr>
          <w:ilvl w:val="2"/>
          <w:numId w:val="11"/>
        </w:numPr>
        <w:tabs>
          <w:tab w:val="left" w:pos="420"/>
        </w:tabs>
        <w:bidi w:val="0"/>
        <w:ind w:left="0" w:leftChars="0"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住宅项目应采用高能效产品，并符合下列规定：</w:t>
      </w:r>
    </w:p>
    <w:p w14:paraId="5A1889E8">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分体空调、多联式空调机组能效等级应不低于2级，宜达到1级；</w:t>
      </w:r>
    </w:p>
    <w:p w14:paraId="65E22FDA">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采用户式燃气采暖热水炉作为供暖热源时，其热效率应符合现行国家标准《家用燃气快速热水器和燃气采暖热水炉能效限定值及能效等级》GB20665中能效等级2级的要求，宜满足能效等级1级的要求；</w:t>
      </w:r>
    </w:p>
    <w:p w14:paraId="66319043">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采用独立的户式双向流热回收新风系统时，其全热焓交换效率制冷不低于50%，制热不低于55%，显热温度交换效率制冷不低于60%，制热不低于65%;</w:t>
      </w:r>
    </w:p>
    <w:p w14:paraId="0C6888A9">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4 生活供水泵应具有变速调节功能；</w:t>
      </w:r>
    </w:p>
    <w:p w14:paraId="44786F45">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5 供冷供暖系统应选用高能效等级的产品，并提高系统能效；宜优先利用地源热泵、空气源热泵等可再生能源，鼓励多能互补集成优化，兼顾生活热水；</w:t>
      </w:r>
    </w:p>
    <w:p w14:paraId="0590417E">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6 照明灯具、家电设备和其他电气设备宜选用1级能效产品。</w:t>
      </w:r>
    </w:p>
    <w:p w14:paraId="6CDEBA75">
      <w:pPr>
        <w:numPr>
          <w:ilvl w:val="1"/>
          <w:numId w:val="6"/>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6" w:name="_Toc17009"/>
      <w:r>
        <w:rPr>
          <w:rFonts w:hint="default" w:ascii="Times New Roman" w:hAnsi="Times New Roman" w:eastAsia="黑体" w:cs="Times New Roman"/>
          <w:b/>
          <w:bCs/>
          <w:color w:val="auto"/>
          <w:sz w:val="28"/>
          <w:szCs w:val="28"/>
          <w:highlight w:val="none"/>
          <w:lang w:val="en-US" w:eastAsia="zh-CN"/>
        </w:rPr>
        <w:t>室内装修设计</w:t>
      </w:r>
      <w:bookmarkEnd w:id="36"/>
    </w:p>
    <w:p w14:paraId="1D7B4B64">
      <w:pPr>
        <w:keepNext w:val="0"/>
        <w:keepLines w:val="0"/>
        <w:pageBreakBefore w:val="0"/>
        <w:widowControl w:val="0"/>
        <w:numPr>
          <w:ilvl w:val="2"/>
          <w:numId w:val="12"/>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鼓励住宅实施全装修，并同步进行室内装修设计与主体建筑设计，遵循功能性、舒适性和可持续性的原则，选用绿色环保、低污染、低能耗、高性能、高耐久性的室内装修材料。</w:t>
      </w:r>
    </w:p>
    <w:p w14:paraId="037574EC">
      <w:pPr>
        <w:keepNext w:val="0"/>
        <w:keepLines w:val="0"/>
        <w:pageBreakBefore w:val="0"/>
        <w:widowControl w:val="0"/>
        <w:numPr>
          <w:ilvl w:val="2"/>
          <w:numId w:val="12"/>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室内使用的建筑装修材料需符合下列规定：</w:t>
      </w:r>
    </w:p>
    <w:p w14:paraId="0D66CE7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0"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1 不应使用含有石棉的建筑材料和物品；</w:t>
      </w:r>
    </w:p>
    <w:p w14:paraId="2CF02302">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0"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 不应使用铅含量超过90mg/kg的木器漆、防火涂料及饰面材料；</w:t>
      </w:r>
    </w:p>
    <w:p w14:paraId="3A1A13EE">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0"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3 地板、地毯、地坪材料、墙纸等产品中邻苯二甲酸二（2</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乙基）己酯（DEHP）、邻苯二甲酸二正丁酯（DBP）、邻苯二甲酸丁基苄酯（BBP）、邻苯二甲酸二异壬酯（DINP）、邻苯二甲酸二异癸酯（DIDP）、邻苯二甲酸二正辛酯（DNOP）的含量不应超过0.01%。</w:t>
      </w:r>
    </w:p>
    <w:p w14:paraId="583304AC">
      <w:pPr>
        <w:keepNext w:val="0"/>
        <w:keepLines w:val="0"/>
        <w:pageBreakBefore w:val="0"/>
        <w:widowControl w:val="0"/>
        <w:numPr>
          <w:ilvl w:val="2"/>
          <w:numId w:val="12"/>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室内装修宜采用装配化装修。内隔墙宜采用轻质隔墙或装配化隔墙，宜选用装配化厨房、装配化卫生间等工业化部品部件。</w:t>
      </w:r>
    </w:p>
    <w:p w14:paraId="75CA7135">
      <w:pPr>
        <w:keepNext w:val="0"/>
        <w:keepLines w:val="0"/>
        <w:pageBreakBefore w:val="0"/>
        <w:widowControl w:val="0"/>
        <w:numPr>
          <w:ilvl w:val="2"/>
          <w:numId w:val="12"/>
        </w:numPr>
        <w:kinsoku/>
        <w:wordWrap/>
        <w:overflowPunct/>
        <w:topLinePunct w:val="0"/>
        <w:autoSpaceDE/>
        <w:autoSpaceDN/>
        <w:bidi w:val="0"/>
        <w:adjustRightInd/>
        <w:snapToGrid/>
        <w:ind w:left="0" w:leftChars="0" w:firstLine="560" w:firstLineChars="200"/>
        <w:jc w:val="both"/>
        <w:textAlignment w:val="auto"/>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应预留足够的水电点位和智能接口，以满足住宅空间的多样化配置，适应不同时间和场合的使用需求。</w:t>
      </w:r>
    </w:p>
    <w:p w14:paraId="2D833AE2">
      <w:pPr>
        <w:numPr>
          <w:ilvl w:val="0"/>
          <w:numId w:val="1"/>
        </w:numPr>
        <w:jc w:val="center"/>
        <w:outlineLvl w:val="0"/>
        <w:rPr>
          <w:rFonts w:hint="default" w:ascii="Times New Roman" w:hAnsi="Times New Roman" w:eastAsia="黑体" w:cs="Times New Roman"/>
          <w:b/>
          <w:bCs/>
          <w:color w:val="auto"/>
          <w:sz w:val="30"/>
          <w:szCs w:val="30"/>
          <w:highlight w:val="none"/>
          <w:lang w:val="en-US" w:eastAsia="zh-CN"/>
        </w:rPr>
      </w:pPr>
      <w:bookmarkStart w:id="37" w:name="_Toc11169"/>
      <w:r>
        <w:rPr>
          <w:rFonts w:hint="default" w:ascii="Times New Roman" w:hAnsi="Times New Roman" w:eastAsia="黑体" w:cs="Times New Roman"/>
          <w:b/>
          <w:bCs/>
          <w:color w:val="auto"/>
          <w:sz w:val="30"/>
          <w:szCs w:val="30"/>
          <w:highlight w:val="none"/>
          <w:lang w:val="en-US" w:eastAsia="zh-CN"/>
        </w:rPr>
        <w:t>附录</w:t>
      </w:r>
      <w:bookmarkEnd w:id="37"/>
    </w:p>
    <w:p w14:paraId="4470113B">
      <w:pPr>
        <w:numPr>
          <w:ilvl w:val="1"/>
          <w:numId w:val="13"/>
        </w:numPr>
        <w:ind w:left="567" w:leftChars="0" w:hanging="567" w:firstLineChars="0"/>
        <w:jc w:val="both"/>
        <w:outlineLvl w:val="1"/>
        <w:rPr>
          <w:rFonts w:hint="default" w:ascii="Times New Roman" w:hAnsi="Times New Roman" w:eastAsia="黑体" w:cs="Times New Roman"/>
          <w:b/>
          <w:bCs/>
          <w:color w:val="auto"/>
          <w:sz w:val="28"/>
          <w:szCs w:val="28"/>
          <w:highlight w:val="none"/>
          <w:lang w:val="en-US" w:eastAsia="zh-CN"/>
        </w:rPr>
      </w:pPr>
      <w:bookmarkStart w:id="38" w:name="_Toc1511"/>
      <w:r>
        <w:rPr>
          <w:rFonts w:hint="default" w:ascii="Times New Roman" w:hAnsi="Times New Roman" w:eastAsia="黑体" w:cs="Times New Roman"/>
          <w:b/>
          <w:bCs/>
          <w:color w:val="auto"/>
          <w:sz w:val="28"/>
          <w:szCs w:val="28"/>
          <w:highlight w:val="none"/>
          <w:lang w:val="en-US" w:eastAsia="zh-CN"/>
        </w:rPr>
        <w:t>用词说明</w:t>
      </w:r>
      <w:bookmarkEnd w:id="38"/>
    </w:p>
    <w:p w14:paraId="57C05D07">
      <w:pPr>
        <w:numPr>
          <w:ilvl w:val="2"/>
          <w:numId w:val="14"/>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为便于在执行本导则条文时区别对待</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对要求严格程度不同的用词说明如下</w:t>
      </w:r>
      <w:r>
        <w:rPr>
          <w:rFonts w:hint="eastAsia" w:ascii="Times New Roman" w:hAnsi="Times New Roman" w:eastAsia="仿宋" w:cs="Times New Roman"/>
          <w:b w:val="0"/>
          <w:bCs w:val="0"/>
          <w:color w:val="auto"/>
          <w:sz w:val="28"/>
          <w:szCs w:val="28"/>
          <w:highlight w:val="none"/>
          <w:lang w:val="en-US" w:eastAsia="zh-CN"/>
        </w:rPr>
        <w:t>：</w:t>
      </w:r>
    </w:p>
    <w:p w14:paraId="6315C2B2">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(1)</w:t>
      </w:r>
      <w:r>
        <w:rPr>
          <w:rFonts w:hint="default" w:ascii="Times New Roman" w:hAnsi="Times New Roman" w:eastAsia="仿宋" w:cs="Times New Roman"/>
          <w:b w:val="0"/>
          <w:bCs w:val="0"/>
          <w:color w:val="auto"/>
          <w:sz w:val="28"/>
          <w:szCs w:val="28"/>
          <w:highlight w:val="none"/>
          <w:lang w:val="en-US" w:eastAsia="zh-CN"/>
        </w:rPr>
        <w:t>表示很严格、非这样做不可的用词</w:t>
      </w:r>
      <w:r>
        <w:rPr>
          <w:rFonts w:hint="eastAsia" w:ascii="Times New Roman" w:hAnsi="Times New Roman" w:eastAsia="仿宋" w:cs="Times New Roman"/>
          <w:b w:val="0"/>
          <w:bCs w:val="0"/>
          <w:color w:val="auto"/>
          <w:sz w:val="28"/>
          <w:szCs w:val="28"/>
          <w:highlight w:val="none"/>
          <w:lang w:val="en-US" w:eastAsia="zh-CN"/>
        </w:rPr>
        <w:t>：</w:t>
      </w:r>
    </w:p>
    <w:p w14:paraId="41AE7070">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正面词采用“必须”</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反面词采用“严禁”</w:t>
      </w:r>
      <w:r>
        <w:rPr>
          <w:rFonts w:hint="eastAsia" w:ascii="Times New Roman" w:hAnsi="Times New Roman" w:eastAsia="仿宋" w:cs="Times New Roman"/>
          <w:b w:val="0"/>
          <w:bCs w:val="0"/>
          <w:color w:val="auto"/>
          <w:sz w:val="28"/>
          <w:szCs w:val="28"/>
          <w:highlight w:val="none"/>
          <w:lang w:val="en-US" w:eastAsia="zh-CN"/>
        </w:rPr>
        <w:t>；</w:t>
      </w:r>
    </w:p>
    <w:p w14:paraId="04283103">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(2)</w:t>
      </w:r>
      <w:r>
        <w:rPr>
          <w:rFonts w:hint="default" w:ascii="Times New Roman" w:hAnsi="Times New Roman" w:eastAsia="仿宋" w:cs="Times New Roman"/>
          <w:b w:val="0"/>
          <w:bCs w:val="0"/>
          <w:color w:val="auto"/>
          <w:sz w:val="28"/>
          <w:szCs w:val="28"/>
          <w:highlight w:val="none"/>
          <w:lang w:val="en-US" w:eastAsia="zh-CN"/>
        </w:rPr>
        <w:t>表示严格</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在正常情况下均应这样做的用词</w:t>
      </w:r>
      <w:r>
        <w:rPr>
          <w:rFonts w:hint="eastAsia" w:ascii="Times New Roman" w:hAnsi="Times New Roman" w:eastAsia="仿宋" w:cs="Times New Roman"/>
          <w:b w:val="0"/>
          <w:bCs w:val="0"/>
          <w:color w:val="auto"/>
          <w:sz w:val="28"/>
          <w:szCs w:val="28"/>
          <w:highlight w:val="none"/>
          <w:lang w:val="en-US" w:eastAsia="zh-CN"/>
        </w:rPr>
        <w:t>：</w:t>
      </w:r>
    </w:p>
    <w:p w14:paraId="260622EA">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正面词采用“应”</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反面词采用“不应”或“不得”</w:t>
      </w:r>
      <w:r>
        <w:rPr>
          <w:rFonts w:hint="eastAsia" w:ascii="Times New Roman" w:hAnsi="Times New Roman" w:eastAsia="仿宋" w:cs="Times New Roman"/>
          <w:b w:val="0"/>
          <w:bCs w:val="0"/>
          <w:color w:val="auto"/>
          <w:sz w:val="28"/>
          <w:szCs w:val="28"/>
          <w:highlight w:val="none"/>
          <w:lang w:val="en-US" w:eastAsia="zh-CN"/>
        </w:rPr>
        <w:t>；</w:t>
      </w:r>
    </w:p>
    <w:p w14:paraId="22DD2E05">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(3)</w:t>
      </w:r>
      <w:r>
        <w:rPr>
          <w:rFonts w:hint="default" w:ascii="Times New Roman" w:hAnsi="Times New Roman" w:eastAsia="仿宋" w:cs="Times New Roman"/>
          <w:b w:val="0"/>
          <w:bCs w:val="0"/>
          <w:color w:val="auto"/>
          <w:sz w:val="28"/>
          <w:szCs w:val="28"/>
          <w:highlight w:val="none"/>
          <w:lang w:val="en-US" w:eastAsia="zh-CN"/>
        </w:rPr>
        <w:t>表示允许稍有选择</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在条件许可时首先应这样做的用词</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正面词采用“宜”</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反面词采用“不宜”</w:t>
      </w:r>
      <w:r>
        <w:rPr>
          <w:rFonts w:hint="eastAsia" w:ascii="Times New Roman" w:hAnsi="Times New Roman" w:eastAsia="仿宋" w:cs="Times New Roman"/>
          <w:b w:val="0"/>
          <w:bCs w:val="0"/>
          <w:color w:val="auto"/>
          <w:sz w:val="28"/>
          <w:szCs w:val="28"/>
          <w:highlight w:val="none"/>
          <w:lang w:val="en-US" w:eastAsia="zh-CN"/>
        </w:rPr>
        <w:t>；</w:t>
      </w:r>
    </w:p>
    <w:p w14:paraId="21AD0B46">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(4)</w:t>
      </w:r>
      <w:r>
        <w:rPr>
          <w:rFonts w:hint="default" w:ascii="Times New Roman" w:hAnsi="Times New Roman" w:eastAsia="仿宋" w:cs="Times New Roman"/>
          <w:b w:val="0"/>
          <w:bCs w:val="0"/>
          <w:color w:val="auto"/>
          <w:sz w:val="28"/>
          <w:szCs w:val="28"/>
          <w:highlight w:val="none"/>
          <w:lang w:val="en-US" w:eastAsia="zh-CN"/>
        </w:rPr>
        <w:t>表示允许有选择</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在一定条件下可以这样做的用词</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采用“可”或“鼓励”。</w:t>
      </w:r>
    </w:p>
    <w:p w14:paraId="6EADE258">
      <w:pPr>
        <w:numPr>
          <w:ilvl w:val="2"/>
          <w:numId w:val="14"/>
        </w:numPr>
        <w:ind w:left="0" w:leftChars="0" w:firstLine="560" w:firstLineChars="200"/>
        <w:jc w:val="both"/>
        <w:outlineLvl w:val="2"/>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条文中指明应按其他有关标准执行的写法为</w:t>
      </w:r>
      <w:r>
        <w:rPr>
          <w:rFonts w:hint="eastAsia"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b w:val="0"/>
          <w:bCs w:val="0"/>
          <w:color w:val="auto"/>
          <w:sz w:val="28"/>
          <w:szCs w:val="28"/>
          <w:highlight w:val="none"/>
          <w:lang w:val="en-US" w:eastAsia="zh-CN"/>
        </w:rPr>
        <w:t>“应符合……的规定”。</w:t>
      </w:r>
    </w:p>
    <w:p w14:paraId="1612580E">
      <w:pPr>
        <w:numPr>
          <w:ilvl w:val="0"/>
          <w:numId w:val="0"/>
        </w:numPr>
        <w:ind w:leftChars="0"/>
        <w:jc w:val="both"/>
        <w:outlineLvl w:val="9"/>
        <w:rPr>
          <w:rFonts w:hint="default" w:ascii="Times New Roman" w:hAnsi="Times New Roman" w:eastAsia="黑体" w:cs="Times New Roman"/>
          <w:b/>
          <w:bCs/>
          <w:color w:val="auto"/>
          <w:sz w:val="28"/>
          <w:szCs w:val="28"/>
          <w:highlight w:val="none"/>
          <w:lang w:val="en-US" w:eastAsia="zh-CN"/>
        </w:rPr>
      </w:pPr>
    </w:p>
    <w:p w14:paraId="3B005C87">
      <w:pPr>
        <w:numPr>
          <w:ilvl w:val="0"/>
          <w:numId w:val="0"/>
        </w:numPr>
        <w:ind w:leftChars="0"/>
        <w:jc w:val="both"/>
        <w:outlineLvl w:val="9"/>
        <w:rPr>
          <w:rFonts w:hint="default" w:ascii="Times New Roman" w:hAnsi="Times New Roman" w:eastAsia="黑体" w:cs="Times New Roman"/>
          <w:b/>
          <w:bCs/>
          <w:color w:val="auto"/>
          <w:sz w:val="28"/>
          <w:szCs w:val="28"/>
          <w:highlight w:val="none"/>
          <w:lang w:val="en-US" w:eastAsia="zh-CN"/>
        </w:rPr>
      </w:pPr>
    </w:p>
    <w:p w14:paraId="737092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p>
    <w:p w14:paraId="7075F08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p>
    <w:p w14:paraId="095FB23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Times New Roman" w:hAnsi="Times New Roman" w:eastAsia="仿宋" w:cs="Times New Roman"/>
          <w:b w:val="0"/>
          <w:bCs w:val="0"/>
          <w:color w:val="auto"/>
          <w:sz w:val="28"/>
          <w:szCs w:val="28"/>
          <w:highlight w:val="none"/>
          <w:lang w:val="en-US" w:eastAsia="zh-CN"/>
        </w:rPr>
      </w:pPr>
    </w:p>
    <w:sectPr>
      <w:footerReference r:id="rId4" w:type="default"/>
      <w:pgSz w:w="11906" w:h="16838"/>
      <w:pgMar w:top="1786" w:right="720" w:bottom="1786" w:left="121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EF00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07E4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277FF">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15277FF">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24ED"/>
    <w:multiLevelType w:val="multilevel"/>
    <w:tmpl w:val="872E24ED"/>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6.%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6704902"/>
    <w:multiLevelType w:val="singleLevel"/>
    <w:tmpl w:val="96704902"/>
    <w:lvl w:ilvl="0" w:tentative="0">
      <w:start w:val="1"/>
      <w:numFmt w:val="chineseCounting"/>
      <w:suff w:val="space"/>
      <w:lvlText w:val="第%1章"/>
      <w:lvlJc w:val="left"/>
      <w:rPr>
        <w:rFonts w:hint="eastAsia"/>
      </w:rPr>
    </w:lvl>
  </w:abstractNum>
  <w:abstractNum w:abstractNumId="2">
    <w:nsid w:val="AE01D4E9"/>
    <w:multiLevelType w:val="multilevel"/>
    <w:tmpl w:val="AE01D4E9"/>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5.%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B9CB729B"/>
    <w:multiLevelType w:val="multilevel"/>
    <w:tmpl w:val="B9CB729B"/>
    <w:lvl w:ilvl="0" w:tentative="0">
      <w:start w:val="1"/>
      <w:numFmt w:val="none"/>
      <w:lvlText w:val="2."/>
      <w:lvlJc w:val="left"/>
      <w:pPr>
        <w:ind w:left="425" w:hanging="425"/>
      </w:pPr>
      <w:rPr>
        <w:rFonts w:hint="default"/>
      </w:rPr>
    </w:lvl>
    <w:lvl w:ilvl="1" w:tentative="0">
      <w:start w:val="1"/>
      <w:numFmt w:val="decimal"/>
      <w:lvlText w:val="2.%2."/>
      <w:lvlJc w:val="left"/>
      <w:pPr>
        <w:ind w:left="567" w:hanging="567"/>
      </w:pPr>
      <w:rPr>
        <w:rFonts w:hint="default"/>
      </w:rPr>
    </w:lvl>
    <w:lvl w:ilvl="2" w:tentative="0">
      <w:start w:val="1"/>
      <w:numFmt w:val="decimal"/>
      <w:lvlText w:val="2.%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34B1B26"/>
    <w:multiLevelType w:val="multilevel"/>
    <w:tmpl w:val="C34B1B26"/>
    <w:lvl w:ilvl="0" w:tentative="0">
      <w:start w:val="1"/>
      <w:numFmt w:val="decimal"/>
      <w:lvlText w:val="2.%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2.%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F7218AA"/>
    <w:multiLevelType w:val="multilevel"/>
    <w:tmpl w:val="CF7218AA"/>
    <w:lvl w:ilvl="0" w:tentative="0">
      <w:start w:val="1"/>
      <w:numFmt w:val="decimal"/>
      <w:lvlText w:val="2.%1"/>
      <w:lvlJc w:val="left"/>
      <w:pPr>
        <w:ind w:left="425" w:hanging="425"/>
      </w:pPr>
      <w:rPr>
        <w:rFonts w:hint="default"/>
      </w:rPr>
    </w:lvl>
    <w:lvl w:ilvl="1" w:tentative="0">
      <w:start w:val="1"/>
      <w:numFmt w:val="decimal"/>
      <w:lvlText w:val="2.%2."/>
      <w:lvlJc w:val="left"/>
      <w:pPr>
        <w:ind w:left="567" w:hanging="567"/>
      </w:pPr>
      <w:rPr>
        <w:rFonts w:hint="default"/>
      </w:rPr>
    </w:lvl>
    <w:lvl w:ilvl="2" w:tentative="0">
      <w:start w:val="1"/>
      <w:numFmt w:val="decimal"/>
      <w:suff w:val="space"/>
      <w:lvlText w:val="2.2.%3."/>
      <w:lvlJc w:val="left"/>
      <w:pPr>
        <w:ind w:left="0" w:leftChars="0" w:firstLine="4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EDF65B0E"/>
    <w:multiLevelType w:val="multilevel"/>
    <w:tmpl w:val="EDF65B0E"/>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7.%3."/>
      <w:lvlJc w:val="left"/>
      <w:pPr>
        <w:tabs>
          <w:tab w:val="left" w:pos="420"/>
        </w:tabs>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266F6B9"/>
    <w:multiLevelType w:val="multilevel"/>
    <w:tmpl w:val="F266F6B9"/>
    <w:lvl w:ilvl="0" w:tentative="0">
      <w:start w:val="1"/>
      <w:numFmt w:val="decimal"/>
      <w:lvlText w:val="2.%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2.1.%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F513FCAE"/>
    <w:multiLevelType w:val="multilevel"/>
    <w:tmpl w:val="F513FCAE"/>
    <w:lvl w:ilvl="0" w:tentative="0">
      <w:start w:val="1"/>
      <w:numFmt w:val="none"/>
      <w:lvlText w:val="2."/>
      <w:lvlJc w:val="left"/>
      <w:pPr>
        <w:ind w:left="425" w:hanging="425"/>
      </w:pPr>
      <w:rPr>
        <w:rFonts w:hint="default"/>
      </w:rPr>
    </w:lvl>
    <w:lvl w:ilvl="1" w:tentative="0">
      <w:start w:val="1"/>
      <w:numFmt w:val="decimal"/>
      <w:lvlText w:val="4.%2."/>
      <w:lvlJc w:val="left"/>
      <w:pPr>
        <w:ind w:left="567" w:hanging="567"/>
      </w:pPr>
      <w:rPr>
        <w:rFonts w:hint="default"/>
      </w:rPr>
    </w:lvl>
    <w:lvl w:ilvl="2" w:tentative="0">
      <w:start w:val="1"/>
      <w:numFmt w:val="decimal"/>
      <w:lvlText w:val="2.%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F6EA0710"/>
    <w:multiLevelType w:val="multilevel"/>
    <w:tmpl w:val="F6EA0710"/>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2.%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D0D91B8"/>
    <w:multiLevelType w:val="multilevel"/>
    <w:tmpl w:val="FD0D91B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4419C14E"/>
    <w:multiLevelType w:val="multilevel"/>
    <w:tmpl w:val="4419C14E"/>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4.%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FDB3815"/>
    <w:multiLevelType w:val="multilevel"/>
    <w:tmpl w:val="4FDB3815"/>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3.%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5E2A1596"/>
    <w:multiLevelType w:val="multilevel"/>
    <w:tmpl w:val="5E2A1596"/>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4.1.%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10"/>
  </w:num>
  <w:num w:numId="3">
    <w:abstractNumId w:val="3"/>
  </w:num>
  <w:num w:numId="4">
    <w:abstractNumId w:val="7"/>
  </w:num>
  <w:num w:numId="5">
    <w:abstractNumId w:val="5"/>
  </w:num>
  <w:num w:numId="6">
    <w:abstractNumId w:val="9"/>
  </w:num>
  <w:num w:numId="7">
    <w:abstractNumId w:val="4"/>
  </w:num>
  <w:num w:numId="8">
    <w:abstractNumId w:val="12"/>
  </w:num>
  <w:num w:numId="9">
    <w:abstractNumId w:val="11"/>
  </w:num>
  <w:num w:numId="10">
    <w:abstractNumId w:val="2"/>
  </w:num>
  <w:num w:numId="11">
    <w:abstractNumId w:val="0"/>
  </w:num>
  <w:num w:numId="12">
    <w:abstractNumId w:val="6"/>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4B2740"/>
    <w:rsid w:val="01665046"/>
    <w:rsid w:val="0190656A"/>
    <w:rsid w:val="01A734FC"/>
    <w:rsid w:val="02103617"/>
    <w:rsid w:val="02941FEE"/>
    <w:rsid w:val="02CB41D0"/>
    <w:rsid w:val="033B4E87"/>
    <w:rsid w:val="03921250"/>
    <w:rsid w:val="03A30A0C"/>
    <w:rsid w:val="03E1792B"/>
    <w:rsid w:val="056761C0"/>
    <w:rsid w:val="062528FA"/>
    <w:rsid w:val="07E36CCC"/>
    <w:rsid w:val="089D5EE4"/>
    <w:rsid w:val="08C56BDB"/>
    <w:rsid w:val="09E14D10"/>
    <w:rsid w:val="0B973A2F"/>
    <w:rsid w:val="0BA63302"/>
    <w:rsid w:val="0D151FE4"/>
    <w:rsid w:val="0DCB3E31"/>
    <w:rsid w:val="0E904BD3"/>
    <w:rsid w:val="0F3B4003"/>
    <w:rsid w:val="0F637E53"/>
    <w:rsid w:val="0F8854A0"/>
    <w:rsid w:val="10513F15"/>
    <w:rsid w:val="1188432E"/>
    <w:rsid w:val="12E806F3"/>
    <w:rsid w:val="13481A2E"/>
    <w:rsid w:val="13F02A50"/>
    <w:rsid w:val="149434CF"/>
    <w:rsid w:val="16050590"/>
    <w:rsid w:val="16D210ED"/>
    <w:rsid w:val="180616F6"/>
    <w:rsid w:val="187F297A"/>
    <w:rsid w:val="19461772"/>
    <w:rsid w:val="1AE520A3"/>
    <w:rsid w:val="1AE91BE2"/>
    <w:rsid w:val="1B55319F"/>
    <w:rsid w:val="1BC4648E"/>
    <w:rsid w:val="1C02560E"/>
    <w:rsid w:val="1CBC0BD7"/>
    <w:rsid w:val="1CDB72B8"/>
    <w:rsid w:val="1D30127C"/>
    <w:rsid w:val="1D462175"/>
    <w:rsid w:val="1D9216F8"/>
    <w:rsid w:val="1DF82414"/>
    <w:rsid w:val="1E5F6237"/>
    <w:rsid w:val="1E8079E2"/>
    <w:rsid w:val="1E9A04C3"/>
    <w:rsid w:val="1F374545"/>
    <w:rsid w:val="20102EB5"/>
    <w:rsid w:val="201E16E6"/>
    <w:rsid w:val="210C26CD"/>
    <w:rsid w:val="210E39CB"/>
    <w:rsid w:val="211310D0"/>
    <w:rsid w:val="2221772E"/>
    <w:rsid w:val="23BA684D"/>
    <w:rsid w:val="24784D8B"/>
    <w:rsid w:val="24D81254"/>
    <w:rsid w:val="25BE40D2"/>
    <w:rsid w:val="268765CD"/>
    <w:rsid w:val="26A576CD"/>
    <w:rsid w:val="26B85F0E"/>
    <w:rsid w:val="27DE227D"/>
    <w:rsid w:val="284C444D"/>
    <w:rsid w:val="29956F54"/>
    <w:rsid w:val="2A4E308A"/>
    <w:rsid w:val="2BF06C39"/>
    <w:rsid w:val="2CAE1DFF"/>
    <w:rsid w:val="2CFE7398"/>
    <w:rsid w:val="2E95313B"/>
    <w:rsid w:val="2F2666B7"/>
    <w:rsid w:val="31855437"/>
    <w:rsid w:val="3216630D"/>
    <w:rsid w:val="32964EE9"/>
    <w:rsid w:val="32B9274A"/>
    <w:rsid w:val="34C04B85"/>
    <w:rsid w:val="34E805DF"/>
    <w:rsid w:val="367F41D2"/>
    <w:rsid w:val="36B259D7"/>
    <w:rsid w:val="36BF0C57"/>
    <w:rsid w:val="37E60F90"/>
    <w:rsid w:val="380859C9"/>
    <w:rsid w:val="38126F39"/>
    <w:rsid w:val="39347230"/>
    <w:rsid w:val="3AE90050"/>
    <w:rsid w:val="3AFF613D"/>
    <w:rsid w:val="3BA2509D"/>
    <w:rsid w:val="3C3F267E"/>
    <w:rsid w:val="3C7B0456"/>
    <w:rsid w:val="3D346474"/>
    <w:rsid w:val="3EC65D3B"/>
    <w:rsid w:val="3F692A12"/>
    <w:rsid w:val="3FC16E3E"/>
    <w:rsid w:val="3FE93C38"/>
    <w:rsid w:val="40226734"/>
    <w:rsid w:val="40D062C1"/>
    <w:rsid w:val="40EB4FBC"/>
    <w:rsid w:val="4136346B"/>
    <w:rsid w:val="420E5EDF"/>
    <w:rsid w:val="42AE6B6F"/>
    <w:rsid w:val="42E116DD"/>
    <w:rsid w:val="435B2B93"/>
    <w:rsid w:val="43792ACE"/>
    <w:rsid w:val="43AD0F26"/>
    <w:rsid w:val="43F27A59"/>
    <w:rsid w:val="478B308C"/>
    <w:rsid w:val="47CE4CAB"/>
    <w:rsid w:val="48254AE3"/>
    <w:rsid w:val="4977513D"/>
    <w:rsid w:val="4A551CC8"/>
    <w:rsid w:val="4A7012F7"/>
    <w:rsid w:val="4AFE42BC"/>
    <w:rsid w:val="4B38501D"/>
    <w:rsid w:val="4EAC1FAA"/>
    <w:rsid w:val="4F080878"/>
    <w:rsid w:val="4F246E0E"/>
    <w:rsid w:val="4F8D1DDB"/>
    <w:rsid w:val="4F8E2233"/>
    <w:rsid w:val="4F9B7EA7"/>
    <w:rsid w:val="4FFEC04A"/>
    <w:rsid w:val="50FB4313"/>
    <w:rsid w:val="512065AE"/>
    <w:rsid w:val="51A81938"/>
    <w:rsid w:val="5209767A"/>
    <w:rsid w:val="53983D3D"/>
    <w:rsid w:val="53A1623C"/>
    <w:rsid w:val="53CB32E7"/>
    <w:rsid w:val="53EA07A0"/>
    <w:rsid w:val="53EA5711"/>
    <w:rsid w:val="54CE3F0B"/>
    <w:rsid w:val="55D25421"/>
    <w:rsid w:val="55E44584"/>
    <w:rsid w:val="57326672"/>
    <w:rsid w:val="581800F2"/>
    <w:rsid w:val="5824169D"/>
    <w:rsid w:val="58A82691"/>
    <w:rsid w:val="58BF35FB"/>
    <w:rsid w:val="5993577D"/>
    <w:rsid w:val="5A1645DA"/>
    <w:rsid w:val="5A1E7DF7"/>
    <w:rsid w:val="5A605DF6"/>
    <w:rsid w:val="5A750E2A"/>
    <w:rsid w:val="5B9B7DBC"/>
    <w:rsid w:val="5BCA3A6F"/>
    <w:rsid w:val="5BE95971"/>
    <w:rsid w:val="5BF546B8"/>
    <w:rsid w:val="5C1913A7"/>
    <w:rsid w:val="5C26204F"/>
    <w:rsid w:val="5C3F63A9"/>
    <w:rsid w:val="5C907301"/>
    <w:rsid w:val="5E806DB9"/>
    <w:rsid w:val="5F992A91"/>
    <w:rsid w:val="5FEF3BFE"/>
    <w:rsid w:val="6146125A"/>
    <w:rsid w:val="61FB1F56"/>
    <w:rsid w:val="626A76BB"/>
    <w:rsid w:val="626B13BA"/>
    <w:rsid w:val="62771DA3"/>
    <w:rsid w:val="62AD4248"/>
    <w:rsid w:val="62E0626E"/>
    <w:rsid w:val="62FD1E8C"/>
    <w:rsid w:val="63593D0C"/>
    <w:rsid w:val="63A213FB"/>
    <w:rsid w:val="63F4437D"/>
    <w:rsid w:val="642A48AF"/>
    <w:rsid w:val="646405D6"/>
    <w:rsid w:val="649D0D50"/>
    <w:rsid w:val="664B0729"/>
    <w:rsid w:val="669C1D75"/>
    <w:rsid w:val="67AE699A"/>
    <w:rsid w:val="67B3728A"/>
    <w:rsid w:val="68F91E38"/>
    <w:rsid w:val="699C1C6C"/>
    <w:rsid w:val="69C41C72"/>
    <w:rsid w:val="69DB150E"/>
    <w:rsid w:val="6A126A42"/>
    <w:rsid w:val="6A8E65B0"/>
    <w:rsid w:val="6C2B4D1F"/>
    <w:rsid w:val="6C972593"/>
    <w:rsid w:val="6CB35B43"/>
    <w:rsid w:val="6DA117B4"/>
    <w:rsid w:val="6DAD4C27"/>
    <w:rsid w:val="6E081FEA"/>
    <w:rsid w:val="6E6D5BF4"/>
    <w:rsid w:val="6E73691B"/>
    <w:rsid w:val="6F160938"/>
    <w:rsid w:val="6F9C3CF8"/>
    <w:rsid w:val="71FF5F7C"/>
    <w:rsid w:val="72FD01E4"/>
    <w:rsid w:val="74B24AD2"/>
    <w:rsid w:val="75F504F2"/>
    <w:rsid w:val="76991F49"/>
    <w:rsid w:val="776112D4"/>
    <w:rsid w:val="776A7114"/>
    <w:rsid w:val="78E73D02"/>
    <w:rsid w:val="79530957"/>
    <w:rsid w:val="7A9B78C4"/>
    <w:rsid w:val="7B140443"/>
    <w:rsid w:val="7C1C7BB8"/>
    <w:rsid w:val="7C8D643F"/>
    <w:rsid w:val="7D26294A"/>
    <w:rsid w:val="7D493BCF"/>
    <w:rsid w:val="7D89042C"/>
    <w:rsid w:val="7DC56EEA"/>
    <w:rsid w:val="7DFDA358"/>
    <w:rsid w:val="7EF93326"/>
    <w:rsid w:val="DD7F8773"/>
    <w:rsid w:val="EF5F7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ind w:firstLine="560" w:firstLineChars="200"/>
      <w:outlineLvl w:val="2"/>
    </w:pPr>
    <w:rPr>
      <w:rFonts w:ascii="仿宋" w:hAnsi="仿宋" w:eastAsia="仿宋" w:cs="仿宋"/>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Default"/>
    <w:basedOn w:val="1"/>
    <w:qFormat/>
    <w:uiPriority w:val="99"/>
    <w:pPr>
      <w:tabs>
        <w:tab w:val="left" w:pos="2429"/>
      </w:tabs>
      <w:autoSpaceDE w:val="0"/>
      <w:autoSpaceDN w:val="0"/>
    </w:pPr>
    <w:rPr>
      <w:rFonts w:cs="宋体"/>
      <w:color w:val="000000"/>
      <w:sz w:val="24"/>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9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annotation reference"/>
    <w:basedOn w:val="12"/>
    <w:qFormat/>
    <w:uiPriority w:val="0"/>
    <w:rPr>
      <w:sz w:val="21"/>
      <w:szCs w:val="21"/>
    </w:rPr>
  </w:style>
  <w:style w:type="table" w:customStyle="1" w:styleId="14">
    <w:name w:val="网格型1"/>
    <w:basedOn w:val="10"/>
    <w:qFormat/>
    <w:uiPriority w:val="99"/>
    <w:rPr>
      <w:rFonts w:ascii="宋体" w:hAns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160</Words>
  <Characters>212</Characters>
  <Lines>0</Lines>
  <Paragraphs>0</Paragraphs>
  <TotalTime>2</TotalTime>
  <ScaleCrop>false</ScaleCrop>
  <LinksUpToDate>false</LinksUpToDate>
  <CharactersWithSpaces>280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2025-05-22T09:47:00Z</dcterms:created>
  <dc:creator>WPS_1640916177</dc:creator>
  <cp:lastModifiedBy>枫</cp:lastModifiedBy>
  <dcterms:modified xsi:type="dcterms:W3CDTF">2025-07-30T11:45:11Z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5BAC82ECFE1F4AFC99C4CE9F5EBCC29E_13</vt:lpwstr>
  </property>
  <property fmtid="{D5CDD505-2E9C-101B-9397-08002B2CF9AE}" pid="4" name="KSOTemplateDocerSaveRecord">
    <vt:lpwstr>eyJoZGlkIjoiZTg3YjMzNWQ5NTkzMjNjNDQ5YTgyNDZhM2RkNmQ4ZGYiLCJ1c2VySWQiOiIxMzM4MDY1ODA5In0=</vt:lpwstr>
  </property>
</Properties>
</file>