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kern w:val="0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kern w:val="0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kern w:val="0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000000"/>
          <w:kern w:val="0"/>
          <w:sz w:val="52"/>
          <w:szCs w:val="52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52"/>
          <w:szCs w:val="52"/>
          <w:highlight w:val="none"/>
          <w:lang w:val="en-US" w:eastAsia="zh-CN"/>
        </w:rPr>
        <w:t>第三批国家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52"/>
          <w:szCs w:val="52"/>
          <w:highlight w:val="none"/>
        </w:rPr>
        <w:t>产融合作试点城市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000000"/>
          <w:kern w:val="0"/>
          <w:sz w:val="52"/>
          <w:szCs w:val="5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000000"/>
          <w:kern w:val="0"/>
          <w:sz w:val="52"/>
          <w:szCs w:val="52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52"/>
          <w:szCs w:val="52"/>
          <w:highlight w:val="none"/>
          <w:lang w:val="en-US" w:eastAsia="zh-CN"/>
        </w:rPr>
        <w:t>实施方案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000000"/>
          <w:kern w:val="0"/>
          <w:sz w:val="52"/>
          <w:szCs w:val="5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val="en-US" w:eastAsia="zh-CN"/>
        </w:rPr>
        <w:t>申报</w:t>
      </w: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</w:rPr>
        <w:t>提纲</w:t>
      </w: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080" w:firstLineChars="300"/>
        <w:jc w:val="both"/>
        <w:textAlignment w:val="auto"/>
        <w:outlineLvl w:val="0"/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eastAsia="zh-CN"/>
        </w:rPr>
        <w:t>申 报</w:t>
      </w: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</w:rPr>
        <w:t>城</w:t>
      </w: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</w:rPr>
        <w:t>市</w:t>
      </w: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eastAsia="zh-CN"/>
        </w:rPr>
        <w:t>：</w:t>
      </w: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u w:val="single"/>
          <w:lang w:val="en-US" w:eastAsia="zh-CN"/>
        </w:rPr>
        <w:t xml:space="preserve">        （盖章）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080" w:firstLineChars="300"/>
        <w:jc w:val="left"/>
        <w:textAlignment w:val="auto"/>
        <w:outlineLvl w:val="0"/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</w:rPr>
      </w:pPr>
      <w:r>
        <w:rPr>
          <w:rFonts w:hint="eastAsia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eastAsia="zh-CN"/>
        </w:rPr>
        <w:t>申</w:t>
      </w:r>
      <w:r>
        <w:rPr>
          <w:rFonts w:hint="eastAsia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val="en-US" w:eastAsia="zh-CN"/>
        </w:rPr>
        <w:t xml:space="preserve"> 报 </w:t>
      </w: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</w:rPr>
        <w:t>时 间</w:t>
      </w: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eastAsia="zh-CN"/>
        </w:rPr>
        <w:t>：</w:t>
      </w: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val="en-US" w:eastAsia="zh-CN"/>
        </w:rPr>
        <w:t>工业和信息化部编制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4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4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40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40"/>
          <w:highlight w:val="none"/>
        </w:rPr>
      </w:pPr>
      <w:r>
        <w:rPr>
          <w:rFonts w:hint="eastAsia" w:ascii="黑体" w:hAnsi="黑体" w:eastAsia="黑体" w:cs="黑体"/>
          <w:kern w:val="2"/>
          <w:sz w:val="32"/>
          <w:szCs w:val="40"/>
          <w:highlight w:val="none"/>
        </w:rPr>
        <w:t>一、产融合作基础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eastAsia="zh-CN"/>
        </w:rPr>
        <w:t>重点介绍</w:t>
      </w:r>
      <w:r>
        <w:rPr>
          <w:rFonts w:hint="eastAsia" w:ascii="Times New Roman" w:hAnsi="Times New Roman" w:eastAsia="仿宋_GB2312" w:cs="Times New Roman"/>
          <w:kern w:val="2"/>
          <w:sz w:val="32"/>
          <w:szCs w:val="40"/>
          <w:highlight w:val="none"/>
          <w:lang w:eastAsia="zh-CN"/>
        </w:rPr>
        <w:t>与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</w:rPr>
        <w:t>申报条件</w:t>
      </w:r>
      <w:r>
        <w:rPr>
          <w:rFonts w:hint="eastAsia" w:ascii="Times New Roman" w:hAnsi="Times New Roman" w:eastAsia="仿宋_GB2312" w:cs="Times New Roman"/>
          <w:kern w:val="2"/>
          <w:sz w:val="32"/>
          <w:szCs w:val="40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匹配情况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</w:rPr>
      </w:pPr>
      <w:r>
        <w:rPr>
          <w:rFonts w:hint="eastAsia" w:ascii="黑体" w:hAnsi="黑体" w:eastAsia="黑体" w:cs="黑体"/>
          <w:kern w:val="2"/>
          <w:sz w:val="32"/>
          <w:szCs w:val="40"/>
          <w:highlight w:val="none"/>
        </w:rPr>
        <w:t>二、总体思路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深入贯彻落实</w:t>
      </w:r>
      <w:r>
        <w:rPr>
          <w:rFonts w:hint="eastAsia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中央经济工作会议、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中央金融工作会议和全国新型工业化推进大会精神，锚定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eastAsia="zh-CN"/>
        </w:rPr>
        <w:t>制造强国、网络强国建设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目标，</w:t>
      </w:r>
      <w:r>
        <w:rPr>
          <w:rFonts w:hint="eastAsia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加快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推进新型工业化，在依法合规、风险可控、商业可持续的前提下，围绕提升金融服务实体经济质效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eastAsia="zh-CN"/>
        </w:rPr>
        <w:t>探索产融合作新模式新路径，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强化推进新型工业化全过程各方面的金融要素保障</w:t>
      </w:r>
      <w:r>
        <w:rPr>
          <w:rFonts w:hint="eastAsia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</w:rPr>
      </w:pPr>
      <w:r>
        <w:rPr>
          <w:rFonts w:hint="eastAsia" w:ascii="黑体" w:hAnsi="黑体" w:eastAsia="黑体" w:cs="黑体"/>
          <w:kern w:val="2"/>
          <w:sz w:val="32"/>
          <w:szCs w:val="40"/>
          <w:highlight w:val="none"/>
        </w:rPr>
        <w:t>三、试点目标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试点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eastAsia="zh-CN"/>
        </w:rPr>
        <w:t>目标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可参考试点指标（附件3），应包含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eastAsia="zh-CN"/>
        </w:rPr>
        <w:t>总体目标和年度目标、定性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指标和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eastAsia="zh-CN"/>
        </w:rPr>
        <w:t>定量指标。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鼓励在试点指标基础之上，围绕推进新型工业化各项重点任务</w:t>
      </w:r>
      <w:r>
        <w:rPr>
          <w:rFonts w:hint="eastAsia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适当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增加指标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</w:rPr>
      </w:pPr>
      <w:r>
        <w:rPr>
          <w:rFonts w:hint="eastAsia" w:ascii="黑体" w:hAnsi="黑体" w:eastAsia="黑体" w:cs="黑体"/>
          <w:kern w:val="2"/>
          <w:sz w:val="32"/>
          <w:szCs w:val="40"/>
          <w:highlight w:val="none"/>
          <w:lang w:eastAsia="zh-CN"/>
        </w:rPr>
        <w:t>四、</w:t>
      </w:r>
      <w:r>
        <w:rPr>
          <w:rFonts w:hint="eastAsia" w:ascii="黑体" w:hAnsi="黑体" w:eastAsia="黑体" w:cs="黑体"/>
          <w:kern w:val="2"/>
          <w:sz w:val="32"/>
          <w:szCs w:val="40"/>
          <w:highlight w:val="none"/>
        </w:rPr>
        <w:t>试点内容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在依法合规、风险可控、商业可持续的前提下，结合实际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" w:eastAsia="zh-CN"/>
        </w:rPr>
        <w:t>和需要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选择试点内容，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eastAsia="zh-CN"/>
        </w:rPr>
        <w:t>重在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政策创新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eastAsia="zh-CN"/>
        </w:rPr>
        <w:t>、机制创新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和实践创新，引导金融机构按照市场化、法治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化原则加强创新探索与合规管理，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highlight w:val="none"/>
          <w:lang w:val="en-US" w:eastAsia="zh-CN"/>
        </w:rPr>
        <w:t>将金融服务实体经济作为防范金融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highlight w:val="none"/>
          <w:lang w:val="en" w:eastAsia="zh-CN"/>
        </w:rPr>
        <w:t>风险、推动金融高质量发展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highlight w:val="none"/>
          <w:lang w:val="en-US" w:eastAsia="zh-CN"/>
        </w:rPr>
        <w:t>的根本举措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" w:eastAsia="zh-CN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以下内容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" w:eastAsia="zh-CN"/>
        </w:rPr>
        <w:t>仅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供参考。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  <w:lang w:val="en" w:eastAsia="zh-CN"/>
        </w:rPr>
        <w:t>强化财税、金融等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  <w:lang w:val="en-US" w:eastAsia="zh-CN"/>
        </w:rPr>
        <w:t>政策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  <w:lang w:val="en" w:eastAsia="zh-CN"/>
        </w:rPr>
        <w:t>与产业政策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  <w:lang w:val="en-US" w:eastAsia="zh-CN"/>
        </w:rPr>
        <w:t>协同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  <w:t>。加强财政资金、融资担保、央地基金等协同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  <w:t>，通过产业、财税等政策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  <w:t>引导金融机构加大对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科技创新、先进制造、绿色发展和中小微企业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  <w:t>的支持力度。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</w:rPr>
        <w:t>）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  <w:lang w:eastAsia="zh-CN"/>
        </w:rPr>
        <w:t>大力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  <w:lang w:val="en-US" w:eastAsia="zh-CN"/>
        </w:rPr>
        <w:t>支持早期科技创新与成果转化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  <w:t>。探索建立完善以股权投资为主的金融服务体系，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  <w:t>积极参与“科技产业金融一体化”专项，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  <w:t>引导社会资本投早投小投硬科技，加速科技成果转化，为科技型企业提供全链条、全生命周期多元化金融服务。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</w:rPr>
        <w:t>）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  <w:lang w:val="en-US" w:eastAsia="zh-CN"/>
        </w:rPr>
        <w:t>加快推动先进制造业发展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  <w:t>。鼓励金融机构立足职能定位支持制造业发展。引导金融机构依托先进制造业集群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  <w:t>开发适合制造业特点的金融产品，积极发展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  <w:t>中试验证险、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  <w:t>数字化改造集合债等，规范发展供应链金融，提供多元化金融解决方案。支持地方基金与国家级基金开展合作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40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40"/>
          <w:highlight w:val="none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40"/>
          <w:highlight w:val="none"/>
          <w:lang w:eastAsia="zh-CN"/>
        </w:rPr>
        <w:t>）积极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40"/>
          <w:highlight w:val="none"/>
          <w:lang w:val="en-US" w:eastAsia="zh-CN"/>
        </w:rPr>
        <w:t>推动工业绿色发展</w:t>
      </w: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40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  <w:t>落实《关于加强产融合作推动工业绿色发展的指导意见》（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40"/>
          <w:highlight w:val="none"/>
          <w:shd w:val="clear" w:color="auto" w:fill="auto"/>
          <w:lang w:val="en-US" w:eastAsia="zh-CN" w:bidi="ar"/>
        </w:rPr>
        <w:t>工信部联财〔2021〕159号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  <w:t>），积极开展碳核算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  <w:t>和碳足迹管理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  <w:t>，完善绿色金融标准体系，建立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  <w:t>健全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  <w:t>工业绿色发展项目库，引导金融机构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  <w:t>重点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  <w:t>支持传统产业绿色化数字化改造。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  <w:lang w:eastAsia="zh-CN"/>
        </w:rPr>
        <w:t>）大力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  <w:lang w:val="en-US" w:eastAsia="zh-CN"/>
        </w:rPr>
        <w:t>支持中小微企业融资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  <w:t>。鼓励金融机构提高小微企业信用贷、续贷、首贷业务支持力度。落实“一链一策一批”中小微企业融资促进行动，引导金融机构支持产业链中小企业。推进区域性股权市场“专精特新”专板建设。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</w:rPr>
        <w:t>）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  <w:lang w:val="en-US" w:eastAsia="zh-CN"/>
        </w:rPr>
        <w:t>加快发展数字金融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  <w:t>。加快大数据、人工智能、区块链等技术在金融各领域各环节创新应用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  <w:t>赋能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  <w:t>企业融资增信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eastAsia="zh-CN"/>
        </w:rPr>
        <w:t>。加快培育数据要素市场，强化数据资产管理，释放数据资源价值，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  <w:t>加强网络安全和数据安全防护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  <w:lang w:val="en-US" w:eastAsia="zh-CN"/>
        </w:rPr>
        <w:t>七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  <w:lang w:eastAsia="zh-CN"/>
        </w:rPr>
        <w:t>）积极建设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</w:rPr>
        <w:t>产融</w:t>
      </w:r>
      <w:r>
        <w:rPr>
          <w:rFonts w:hint="default" w:ascii="楷体_GB2312" w:hAnsi="楷体_GB2312" w:eastAsia="楷体_GB2312" w:cs="楷体_GB2312"/>
          <w:b/>
          <w:bCs/>
          <w:kern w:val="2"/>
          <w:sz w:val="32"/>
          <w:szCs w:val="40"/>
          <w:highlight w:val="none"/>
          <w:lang w:eastAsia="zh-CN"/>
        </w:rPr>
        <w:t>信息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  <w:lang w:val="en-US" w:eastAsia="zh-CN"/>
        </w:rPr>
        <w:t>对接服务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40"/>
          <w:highlight w:val="none"/>
        </w:rPr>
        <w:t>平台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40"/>
          <w:highlight w:val="none"/>
          <w:lang w:val="en-US" w:eastAsia="zh-CN"/>
        </w:rPr>
        <w:t>常态化线上线下开展银企信息对接、投融资路演活动。建设运营产融信息对接服务平台，创新算法模型，挖掘数据价值，提升平台效能，支持地方平台与国家产融合作平台数据共享。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"/>
        </w:rPr>
      </w:pPr>
      <w:r>
        <w:rPr>
          <w:rFonts w:hint="eastAsia" w:ascii="黑体" w:hAnsi="黑体" w:eastAsia="黑体" w:cs="黑体"/>
          <w:kern w:val="2"/>
          <w:sz w:val="32"/>
          <w:szCs w:val="40"/>
          <w:highlight w:val="none"/>
          <w:lang w:val="en"/>
        </w:rPr>
        <w:t>五</w:t>
      </w:r>
      <w:r>
        <w:rPr>
          <w:rFonts w:hint="eastAsia" w:ascii="黑体" w:hAnsi="黑体" w:eastAsia="黑体" w:cs="黑体"/>
          <w:kern w:val="2"/>
          <w:sz w:val="32"/>
          <w:szCs w:val="40"/>
          <w:highlight w:val="none"/>
        </w:rPr>
        <w:t>、</w:t>
      </w:r>
      <w:r>
        <w:rPr>
          <w:rFonts w:hint="eastAsia" w:ascii="黑体" w:hAnsi="黑体" w:eastAsia="黑体" w:cs="黑体"/>
          <w:kern w:val="2"/>
          <w:sz w:val="32"/>
          <w:szCs w:val="40"/>
          <w:highlight w:val="none"/>
          <w:lang w:val="en"/>
        </w:rPr>
        <w:t>路演</w:t>
      </w:r>
      <w:r>
        <w:rPr>
          <w:rFonts w:hint="eastAsia" w:ascii="黑体" w:hAnsi="黑体" w:eastAsia="黑体" w:cs="黑体"/>
          <w:kern w:val="2"/>
          <w:sz w:val="32"/>
          <w:szCs w:val="40"/>
          <w:highlight w:val="none"/>
          <w:lang w:val="en" w:eastAsia="zh-CN"/>
        </w:rPr>
        <w:t>活动申办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我部将联合深圳证券交易所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开展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一城一策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投融资路演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请注明是否有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" w:eastAsia="zh-CN"/>
        </w:rPr>
        <w:t>意愿和条件申办2024年常态化投融资路演活动，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并在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highlight w:val="none"/>
          <w:lang w:val="en-US" w:eastAsia="zh-CN"/>
        </w:rPr>
        <w:t>试点城市管理系统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中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</w:rPr>
        <w:t>填报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路演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" w:eastAsia="zh-CN"/>
        </w:rPr>
        <w:t>主题、举办日期、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推荐企业清单（含企业名称、行业领域、核心优势、股权融资需求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" w:eastAsia="zh-CN"/>
        </w:rPr>
        <w:t>）等信息。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40"/>
          <w:highlight w:val="none"/>
        </w:rPr>
      </w:pPr>
      <w:r>
        <w:rPr>
          <w:rFonts w:hint="eastAsia" w:ascii="黑体" w:hAnsi="黑体" w:eastAsia="黑体" w:cs="黑体"/>
          <w:kern w:val="2"/>
          <w:sz w:val="32"/>
          <w:szCs w:val="40"/>
          <w:highlight w:val="none"/>
          <w:lang w:val="en"/>
        </w:rPr>
        <w:t>六</w:t>
      </w:r>
      <w:r>
        <w:rPr>
          <w:rFonts w:hint="eastAsia" w:ascii="黑体" w:hAnsi="黑体" w:eastAsia="黑体" w:cs="黑体"/>
          <w:kern w:val="2"/>
          <w:sz w:val="32"/>
          <w:szCs w:val="40"/>
          <w:highlight w:val="none"/>
        </w:rPr>
        <w:t>、</w:t>
      </w:r>
      <w:r>
        <w:rPr>
          <w:rFonts w:hint="eastAsia" w:ascii="黑体" w:hAnsi="黑体" w:eastAsia="黑体" w:cs="黑体"/>
          <w:kern w:val="2"/>
          <w:sz w:val="32"/>
          <w:szCs w:val="40"/>
          <w:highlight w:val="none"/>
          <w:lang w:eastAsia="zh-CN"/>
        </w:rPr>
        <w:t>组织</w:t>
      </w:r>
      <w:r>
        <w:rPr>
          <w:rFonts w:hint="eastAsia" w:ascii="黑体" w:hAnsi="黑体" w:eastAsia="黑体" w:cs="黑体"/>
          <w:kern w:val="2"/>
          <w:sz w:val="32"/>
          <w:szCs w:val="40"/>
          <w:highlight w:val="none"/>
        </w:rPr>
        <w:t>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</w:pP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建立组织机构和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eastAsia="zh-CN"/>
        </w:rPr>
        <w:t>协调机制，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投入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eastAsia="zh-CN"/>
        </w:rPr>
        <w:t>专项资金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-US" w:eastAsia="zh-CN"/>
        </w:rPr>
        <w:t>资源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eastAsia="zh-CN"/>
        </w:rPr>
        <w:t>，完善风险监管机制等。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zSVju&#10;0AAAAAUBAAAPAAAAAAAAAAEAIAAAACIAAABkcnMvZG93bnJldi54bWxQSwECFAAUAAAACACHTuJA&#10;uC312LcBAABUAwAADgAAAAAAAAABACAAAAAfAQAAZHJzL2Uyb0RvYy54bWxQSwUGAAAAAAYABgBZ&#10;AQAAS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10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EC79B35"/>
    <w:rsid w:val="14E962C0"/>
    <w:rsid w:val="4D3D973C"/>
    <w:rsid w:val="4DC7B16F"/>
    <w:rsid w:val="55EF82C7"/>
    <w:rsid w:val="6BEF3BAA"/>
    <w:rsid w:val="6FDBB69B"/>
    <w:rsid w:val="7E7F3694"/>
    <w:rsid w:val="CEC79B35"/>
    <w:rsid w:val="EFFFEBA7"/>
    <w:rsid w:val="FDED865E"/>
    <w:rsid w:val="FFFF96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2023-12-07T19:17:00Z</dcterms:created>
  <dc:creator>周楠</dc:creator>
  <cp:lastModifiedBy>Administrator</cp:lastModifiedBy>
  <cp:lastPrinted>2023-12-29T02:09:26Z</cp:lastPrinted>
  <dcterms:modified xsi:type="dcterms:W3CDTF">2023-12-29T08:40:20Z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