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580" w:lineRule="atLeast"/>
        <w:ind w:left="0" w:right="0" w:firstLine="0"/>
        <w:jc w:val="both"/>
        <w:rPr>
          <w:rFonts w:ascii="Calibri" w:hAnsi="Calibri" w:cs="Calibri"/>
          <w:sz w:val="21"/>
          <w:szCs w:val="21"/>
        </w:rPr>
      </w:pPr>
      <w:r>
        <w:rPr>
          <w:rFonts w:ascii="黑体" w:hAnsi="宋体" w:eastAsia="黑体" w:cs="黑体"/>
          <w:i w:val="0"/>
          <w:iCs w:val="0"/>
          <w:caps w:val="0"/>
          <w:color w:val="000000"/>
          <w:spacing w:val="0"/>
          <w:kern w:val="0"/>
          <w:sz w:val="32"/>
          <w:szCs w:val="32"/>
          <w:lang w:val="en-US" w:eastAsia="zh-CN" w:bidi="ar"/>
        </w:rPr>
        <w:t>附件</w:t>
      </w:r>
      <w:r>
        <w:rPr>
          <w:rFonts w:hint="default" w:ascii="Times New Roman" w:hAnsi="Times New Roman" w:cs="Times New Roman" w:eastAsiaTheme="minorEastAsia"/>
          <w:i w:val="0"/>
          <w:iCs w:val="0"/>
          <w:caps w:val="0"/>
          <w:color w:val="000000"/>
          <w:spacing w:val="0"/>
          <w:kern w:val="0"/>
          <w:sz w:val="32"/>
          <w:szCs w:val="32"/>
          <w:lang w:val="en-US" w:eastAsia="zh-CN" w:bidi="ar"/>
        </w:rPr>
        <w:t>1</w:t>
      </w:r>
    </w:p>
    <w:p>
      <w:pPr>
        <w:keepNext w:val="0"/>
        <w:keepLines w:val="0"/>
        <w:widowControl/>
        <w:suppressLineNumbers w:val="0"/>
        <w:spacing w:before="0" w:beforeAutospacing="0" w:after="0" w:afterAutospacing="0" w:line="580" w:lineRule="atLeast"/>
        <w:ind w:left="0" w:right="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80" w:lineRule="atLeast"/>
        <w:ind w:left="0" w:right="0"/>
        <w:jc w:val="center"/>
        <w:rPr>
          <w:rFonts w:hint="default" w:ascii="Calibri" w:hAnsi="Calibri" w:cs="Calibri"/>
          <w:sz w:val="21"/>
          <w:szCs w:val="21"/>
        </w:rPr>
      </w:pPr>
      <w:bookmarkStart w:id="0" w:name="_GoBack"/>
      <w:r>
        <w:rPr>
          <w:rFonts w:ascii="方正小标宋简体" w:hAnsi="方正小标宋简体" w:eastAsia="方正小标宋简体" w:cs="方正小标宋简体"/>
          <w:i w:val="0"/>
          <w:iCs w:val="0"/>
          <w:caps w:val="0"/>
          <w:color w:val="000000"/>
          <w:spacing w:val="0"/>
          <w:kern w:val="0"/>
          <w:sz w:val="44"/>
          <w:szCs w:val="44"/>
          <w:lang w:val="en-US" w:eastAsia="zh-CN" w:bidi="ar"/>
        </w:rPr>
        <w:t>生态保护红线内允许开展的有限人为活动</w:t>
      </w:r>
      <w:bookmarkEnd w:id="0"/>
    </w:p>
    <w:p>
      <w:pPr>
        <w:keepNext w:val="0"/>
        <w:keepLines w:val="0"/>
        <w:widowControl/>
        <w:suppressLineNumbers w:val="0"/>
        <w:spacing w:before="0" w:beforeAutospacing="0" w:after="0" w:afterAutospacing="0" w:line="580" w:lineRule="atLeast"/>
        <w:ind w:left="0" w:right="0" w:firstLine="64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80" w:lineRule="atLeast"/>
        <w:ind w:left="0" w:right="0" w:firstLine="64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ascii="仿宋_GB2312" w:hAnsi="Calibri" w:eastAsia="仿宋_GB2312" w:cs="仿宋_GB2312"/>
          <w:i w:val="0"/>
          <w:iCs w:val="0"/>
          <w:caps w:val="0"/>
          <w:color w:val="000000"/>
          <w:spacing w:val="0"/>
          <w:kern w:val="0"/>
          <w:sz w:val="32"/>
          <w:szCs w:val="32"/>
          <w:lang w:val="en-US" w:eastAsia="zh-CN" w:bidi="ar"/>
        </w:rPr>
        <w:t>管护巡护、保护执法、科学研究、调查监测、测绘导航、防灾减灾救灾、军事国防、疫情防控等活动及其相关的必要设施修筑。</w:t>
      </w:r>
    </w:p>
    <w:p>
      <w:pPr>
        <w:keepNext w:val="0"/>
        <w:keepLines w:val="0"/>
        <w:widowControl/>
        <w:suppressLineNumbers w:val="0"/>
        <w:spacing w:before="0" w:beforeAutospacing="0" w:after="0" w:afterAutospacing="0" w:line="580" w:lineRule="atLeast"/>
        <w:ind w:left="0" w:right="0" w:firstLine="64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仿宋_GB2312" w:hAnsi="Calibri" w:eastAsia="仿宋_GB2312" w:cs="仿宋_GB2312"/>
          <w:i w:val="0"/>
          <w:iCs w:val="0"/>
          <w:caps w:val="0"/>
          <w:color w:val="000000"/>
          <w:spacing w:val="0"/>
          <w:kern w:val="0"/>
          <w:sz w:val="32"/>
          <w:szCs w:val="32"/>
          <w:lang w:val="en-US" w:eastAsia="zh-CN" w:bidi="ar"/>
        </w:rPr>
        <w:t>原住居民和其他合法权益主体，在不扩大现有建设用地、用海用岛、耕地、水产养殖规模和放牧强度的前提下，开展种植、放牧、捕捞、养殖（不包括投礁型海洋牧场、围海养殖）等活动，修筑生产生活设施。</w:t>
      </w:r>
    </w:p>
    <w:p>
      <w:pPr>
        <w:keepNext w:val="0"/>
        <w:keepLines w:val="0"/>
        <w:widowControl/>
        <w:suppressLineNumbers w:val="0"/>
        <w:spacing w:before="0" w:beforeAutospacing="0" w:after="0" w:afterAutospacing="0" w:line="580" w:lineRule="atLeast"/>
        <w:ind w:left="0" w:right="0" w:firstLine="64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仿宋_GB2312" w:hAnsi="Calibri" w:eastAsia="仿宋_GB2312" w:cs="仿宋_GB2312"/>
          <w:i w:val="0"/>
          <w:iCs w:val="0"/>
          <w:caps w:val="0"/>
          <w:color w:val="000000"/>
          <w:spacing w:val="0"/>
          <w:kern w:val="0"/>
          <w:sz w:val="32"/>
          <w:szCs w:val="32"/>
          <w:lang w:val="en-US" w:eastAsia="zh-CN" w:bidi="ar"/>
        </w:rPr>
        <w:t>经依法批准的考古调查发掘、古生物化石调查发掘、标本采集和文物保护活动。</w:t>
      </w:r>
    </w:p>
    <w:p>
      <w:pPr>
        <w:keepNext w:val="0"/>
        <w:keepLines w:val="0"/>
        <w:widowControl/>
        <w:suppressLineNumbers w:val="0"/>
        <w:spacing w:before="0" w:beforeAutospacing="0" w:after="0" w:afterAutospacing="0" w:line="580" w:lineRule="atLeast"/>
        <w:ind w:left="0" w:right="0" w:firstLine="64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4.</w:t>
      </w:r>
      <w:r>
        <w:rPr>
          <w:rFonts w:hint="eastAsia" w:ascii="仿宋_GB2312" w:hAnsi="Calibri" w:eastAsia="仿宋_GB2312" w:cs="仿宋_GB2312"/>
          <w:i w:val="0"/>
          <w:iCs w:val="0"/>
          <w:caps w:val="0"/>
          <w:color w:val="000000"/>
          <w:spacing w:val="0"/>
          <w:kern w:val="0"/>
          <w:sz w:val="32"/>
          <w:szCs w:val="32"/>
          <w:lang w:val="en-US" w:eastAsia="zh-CN" w:bidi="ar"/>
        </w:rPr>
        <w:t>按规定对人工商品林进行抚育采伐，或以提升森林质量、优化栖息地、建设生物防火隔离带等为目的的树种更新，依法开展的竹林采伐经营。</w:t>
      </w:r>
    </w:p>
    <w:p>
      <w:pPr>
        <w:keepNext w:val="0"/>
        <w:keepLines w:val="0"/>
        <w:widowControl/>
        <w:suppressLineNumbers w:val="0"/>
        <w:spacing w:before="0" w:beforeAutospacing="0" w:after="0" w:afterAutospacing="0" w:line="580" w:lineRule="atLeast"/>
        <w:ind w:left="0" w:right="0" w:firstLine="64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5.</w:t>
      </w:r>
      <w:r>
        <w:rPr>
          <w:rFonts w:hint="eastAsia" w:ascii="仿宋_GB2312" w:hAnsi="Calibri" w:eastAsia="仿宋_GB2312" w:cs="仿宋_GB2312"/>
          <w:i w:val="0"/>
          <w:iCs w:val="0"/>
          <w:caps w:val="0"/>
          <w:color w:val="000000"/>
          <w:spacing w:val="0"/>
          <w:kern w:val="0"/>
          <w:sz w:val="32"/>
          <w:szCs w:val="32"/>
          <w:lang w:val="en-US" w:eastAsia="zh-CN" w:bidi="ar"/>
        </w:rPr>
        <w:t>不破坏生态功能的适度参观旅游、科普宣教及符合相关规划的配套性服务设施和相关的必要公共服务设施建设及维护。</w:t>
      </w:r>
    </w:p>
    <w:p>
      <w:pPr>
        <w:keepNext w:val="0"/>
        <w:keepLines w:val="0"/>
        <w:widowControl/>
        <w:suppressLineNumbers w:val="0"/>
        <w:spacing w:before="0" w:beforeAutospacing="0" w:after="0" w:afterAutospacing="0" w:line="580" w:lineRule="atLeast"/>
        <w:ind w:left="0" w:right="0" w:firstLine="64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6.</w:t>
      </w:r>
      <w:r>
        <w:rPr>
          <w:rFonts w:hint="eastAsia" w:ascii="仿宋_GB2312" w:hAnsi="Calibri" w:eastAsia="仿宋_GB2312" w:cs="仿宋_GB2312"/>
          <w:i w:val="0"/>
          <w:iCs w:val="0"/>
          <w:caps w:val="0"/>
          <w:color w:val="000000"/>
          <w:spacing w:val="0"/>
          <w:kern w:val="0"/>
          <w:sz w:val="32"/>
          <w:szCs w:val="32"/>
          <w:lang w:val="en-US" w:eastAsia="zh-CN" w:bidi="ar"/>
        </w:rPr>
        <w:t>必须且无法避让，符合县级以上国土空间规划的线性基础设施建设、通讯和防洪、供水设施建设和船舶航行、航道疏浚清淤等活动；已有的合法水利、交通运输等设施运行维护改造。</w:t>
      </w:r>
    </w:p>
    <w:p>
      <w:pPr>
        <w:keepNext w:val="0"/>
        <w:keepLines w:val="0"/>
        <w:widowControl/>
        <w:suppressLineNumbers w:val="0"/>
        <w:spacing w:before="0" w:beforeAutospacing="0" w:after="0" w:afterAutospacing="0" w:line="580" w:lineRule="atLeast"/>
        <w:ind w:left="0" w:right="0" w:firstLine="64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7.</w:t>
      </w:r>
      <w:r>
        <w:rPr>
          <w:rFonts w:hint="eastAsia" w:ascii="仿宋_GB2312" w:hAnsi="Calibri" w:eastAsia="仿宋_GB2312" w:cs="仿宋_GB2312"/>
          <w:i w:val="0"/>
          <w:iCs w:val="0"/>
          <w:caps w:val="0"/>
          <w:color w:val="000000"/>
          <w:spacing w:val="0"/>
          <w:kern w:val="0"/>
          <w:sz w:val="32"/>
          <w:szCs w:val="32"/>
          <w:lang w:val="en-US" w:eastAsia="zh-CN" w:bidi="ar"/>
        </w:rPr>
        <w:t>地质调查与矿产资源勘查开采。包括：基础地质调查和战略性矿产资源远景调查等公益性工作；铀矿勘查开采活动，可办理矿业权登记；已依法设立的油气探矿权继续勘查活动，可办理探矿权延续、变更（不含扩大勘查区块范围）、保留、注销，当发现可供开采油气资源并探明储量时，可将开采拟占用的地表或海域范围依照国家相关规定调出生态保护红线；已依法设立的油气采矿权不扩大用地用海范围，继续开采，可办理采矿权延续、变更（不扩大矿区范围）、注销；已依法设立的矿泉水和地热采矿权，在不超出已经核定的生产规模、不新增生产设施的前提下继续开采，可办理采矿权延续、变更（不扩大矿区范围）、注销；已依法设立和新立的铬、铜、镍、锂、钴、锆、钾盐、（中）重稀土等战略性矿产探矿权开展勘查活动，可办理探矿权登记，因国家战略需要开采的，可办理采矿权登记。上述勘查开采活动，应落实减缓生态环境影响措施，严格执行绿色勘查、开采及矿山环境生态修复相关要求。</w:t>
      </w:r>
    </w:p>
    <w:p>
      <w:pPr>
        <w:keepNext w:val="0"/>
        <w:keepLines w:val="0"/>
        <w:widowControl/>
        <w:suppressLineNumbers w:val="0"/>
        <w:spacing w:before="0" w:beforeAutospacing="0" w:after="0" w:afterAutospacing="0" w:line="580" w:lineRule="atLeast"/>
        <w:ind w:left="0" w:right="0" w:firstLine="64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8.</w:t>
      </w:r>
      <w:r>
        <w:rPr>
          <w:rFonts w:hint="eastAsia" w:ascii="仿宋_GB2312" w:hAnsi="Calibri" w:eastAsia="仿宋_GB2312" w:cs="仿宋_GB2312"/>
          <w:i w:val="0"/>
          <w:iCs w:val="0"/>
          <w:caps w:val="0"/>
          <w:color w:val="000000"/>
          <w:spacing w:val="0"/>
          <w:kern w:val="0"/>
          <w:sz w:val="32"/>
          <w:szCs w:val="32"/>
          <w:lang w:val="en-US" w:eastAsia="zh-CN" w:bidi="ar"/>
        </w:rPr>
        <w:t>依据县级以上国土空间总体规划及生态保护修复专项规划开展的生态修复。</w:t>
      </w:r>
    </w:p>
    <w:p>
      <w:pPr>
        <w:keepNext w:val="0"/>
        <w:keepLines w:val="0"/>
        <w:widowControl/>
        <w:suppressLineNumbers w:val="0"/>
        <w:spacing w:before="0" w:beforeAutospacing="0" w:after="0" w:afterAutospacing="0" w:line="580" w:lineRule="atLeast"/>
        <w:ind w:left="0" w:right="0" w:firstLine="64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9.</w:t>
      </w:r>
      <w:r>
        <w:rPr>
          <w:rFonts w:hint="eastAsia" w:ascii="仿宋_GB2312" w:hAnsi="Calibri" w:eastAsia="仿宋_GB2312" w:cs="仿宋_GB2312"/>
          <w:i w:val="0"/>
          <w:iCs w:val="0"/>
          <w:caps w:val="0"/>
          <w:color w:val="000000"/>
          <w:spacing w:val="0"/>
          <w:kern w:val="0"/>
          <w:sz w:val="32"/>
          <w:szCs w:val="32"/>
          <w:lang w:val="en-US" w:eastAsia="zh-CN" w:bidi="ar"/>
        </w:rPr>
        <w:t>根据我国相关法律法规和与邻国签署的国界管理制度协定（条约）开展的边境通视道清理及界务工程的修建、维护和拆除工作。</w:t>
      </w:r>
    </w:p>
    <w:p>
      <w:pPr>
        <w:keepNext w:val="0"/>
        <w:keepLines w:val="0"/>
        <w:widowControl/>
        <w:suppressLineNumbers w:val="0"/>
        <w:spacing w:before="0" w:beforeAutospacing="0" w:after="0" w:afterAutospacing="0" w:line="580" w:lineRule="atLeast"/>
        <w:ind w:left="0" w:right="0" w:firstLine="64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10.</w:t>
      </w:r>
      <w:r>
        <w:rPr>
          <w:rFonts w:hint="eastAsia" w:ascii="仿宋_GB2312" w:hAnsi="Calibri" w:eastAsia="仿宋_GB2312" w:cs="仿宋_GB2312"/>
          <w:i w:val="0"/>
          <w:iCs w:val="0"/>
          <w:caps w:val="0"/>
          <w:color w:val="000000"/>
          <w:spacing w:val="0"/>
          <w:kern w:val="0"/>
          <w:sz w:val="32"/>
          <w:szCs w:val="32"/>
          <w:lang w:val="en-US" w:eastAsia="zh-CN" w:bidi="ar"/>
        </w:rPr>
        <w:t>法律、行政法规规定的其他人为活动。</w:t>
      </w:r>
    </w:p>
    <w:p>
      <w:pPr>
        <w:keepNext w:val="0"/>
        <w:keepLines w:val="0"/>
        <w:widowControl/>
        <w:suppressLineNumbers w:val="0"/>
        <w:spacing w:before="0" w:beforeAutospacing="0" w:after="0" w:afterAutospacing="0" w:line="580" w:lineRule="atLeast"/>
        <w:ind w:left="0" w:right="0" w:firstLine="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pPr>
        <w:pStyle w:val="2"/>
        <w:keepNext w:val="0"/>
        <w:keepLines w:val="0"/>
        <w:widowControl/>
        <w:suppressLineNumbers w:val="0"/>
        <w:spacing w:before="0" w:beforeAutospacing="0" w:after="0" w:afterAutospacing="0" w:line="480" w:lineRule="atLeast"/>
        <w:ind w:left="0" w:firstLine="883"/>
        <w:jc w:val="both"/>
        <w:rPr>
          <w:rFonts w:ascii="楷体_GB2312" w:eastAsia="楷体_GB2312" w:cs="楷体_GB2312"/>
          <w:b/>
          <w:bCs/>
          <w:sz w:val="32"/>
          <w:szCs w:val="32"/>
        </w:rPr>
      </w:pPr>
      <w:r>
        <w:rPr>
          <w:rFonts w:hint="default" w:ascii="Times New Roman" w:hAnsi="Times New Roman" w:eastAsia="楷体_GB2312" w:cs="Times New Roman"/>
          <w:b/>
          <w:bCs/>
          <w:i w:val="0"/>
          <w:iCs w:val="0"/>
          <w:caps w:val="0"/>
          <w:color w:val="000000"/>
          <w:spacing w:val="0"/>
          <w:sz w:val="32"/>
          <w:szCs w:val="32"/>
        </w:rPr>
        <w:t> </w:t>
      </w:r>
    </w:p>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pPr>
        <w:pStyle w:val="2"/>
        <w:keepNext w:val="0"/>
        <w:keepLines w:val="0"/>
        <w:widowControl/>
        <w:suppressLineNumbers w:val="0"/>
        <w:spacing w:before="0" w:beforeAutospacing="0" w:after="0" w:afterAutospacing="0" w:line="480" w:lineRule="atLeast"/>
        <w:ind w:left="0" w:firstLine="883"/>
        <w:jc w:val="both"/>
        <w:rPr>
          <w:rFonts w:hint="default" w:ascii="楷体_GB2312" w:eastAsia="楷体_GB2312" w:cs="楷体_GB2312"/>
          <w:b/>
          <w:bCs/>
          <w:sz w:val="32"/>
          <w:szCs w:val="32"/>
        </w:rPr>
      </w:pPr>
      <w:r>
        <w:rPr>
          <w:rFonts w:hint="default" w:ascii="楷体_GB2312" w:eastAsia="楷体_GB2312" w:cs="楷体_GB2312"/>
          <w:b/>
          <w:bCs/>
          <w:i w:val="0"/>
          <w:iCs w:val="0"/>
          <w:caps w:val="0"/>
          <w:color w:val="000000"/>
          <w:spacing w:val="0"/>
          <w:sz w:val="32"/>
          <w:szCs w:val="32"/>
        </w:rPr>
        <w:t> </w:t>
      </w:r>
    </w:p>
    <w:p>
      <w:pPr>
        <w:keepNext w:val="0"/>
        <w:keepLines w:val="0"/>
        <w:widowControl/>
        <w:suppressLineNumbers w:val="0"/>
        <w:spacing w:before="0" w:beforeAutospacing="0" w:after="0" w:afterAutospacing="0" w:line="580" w:lineRule="atLeast"/>
        <w:ind w:left="0" w:right="0" w:firstLine="0"/>
        <w:jc w:val="both"/>
        <w:rPr>
          <w:rFonts w:hint="default" w:ascii="Calibri" w:hAnsi="Calibri" w:cs="Calibri"/>
          <w:sz w:val="21"/>
          <w:szCs w:val="21"/>
        </w:rPr>
      </w:pPr>
      <w:r>
        <w:rPr>
          <w:rFonts w:hint="eastAsia" w:ascii="黑体" w:hAnsi="宋体" w:eastAsia="黑体" w:cs="黑体"/>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eastAsiaTheme="minorEastAsia"/>
          <w:i w:val="0"/>
          <w:iCs w:val="0"/>
          <w:caps w:val="0"/>
          <w:color w:val="000000"/>
          <w:spacing w:val="0"/>
          <w:kern w:val="0"/>
          <w:sz w:val="21"/>
          <w:szCs w:val="21"/>
          <w:lang w:val="en-US" w:eastAsia="zh-CN" w:bidi="ar"/>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806D7"/>
    <w:rsid w:val="48680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2023-11-29T07:40:00Z</dcterms:created>
  <dc:creator>邱展聪</dc:creator>
  <cp:lastModifiedBy>邱展聪</cp:lastModifiedBy>
  <dcterms:modified xsi:type="dcterms:W3CDTF">2023-11-29T07:51:18Z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03B740EA3A9B4A1EA434459329CE8DC5</vt:lpwstr>
  </property>
</Properties>
</file>